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left"/>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附件18</w:t>
      </w:r>
      <w:bookmarkStart w:id="0" w:name="_GoBack"/>
      <w:bookmarkEnd w:id="0"/>
    </w:p>
    <w:p>
      <w:pPr>
        <w:overflowPunct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重庆市开州区市政服务领域政务公开标准目录</w:t>
      </w:r>
    </w:p>
    <w:p>
      <w:pPr>
        <w:overflowPunct w:val="0"/>
        <w:snapToGrid w:val="0"/>
        <w:jc w:val="center"/>
        <w:rPr>
          <w:rFonts w:ascii="方正小标宋_GBK" w:hAnsi="方正小标宋_GBK" w:eastAsia="方正小标宋_GBK" w:cs="方正小标宋_GBK"/>
          <w:sz w:val="44"/>
          <w:szCs w:val="44"/>
        </w:rPr>
      </w:pPr>
    </w:p>
    <w:tbl>
      <w:tblPr>
        <w:tblStyle w:val="3"/>
        <w:tblW w:w="14738" w:type="dxa"/>
        <w:jc w:val="center"/>
        <w:tblInd w:w="0" w:type="dxa"/>
        <w:tblLayout w:type="fixed"/>
        <w:tblCellMar>
          <w:top w:w="0" w:type="dxa"/>
          <w:left w:w="108" w:type="dxa"/>
          <w:bottom w:w="0" w:type="dxa"/>
          <w:right w:w="108" w:type="dxa"/>
        </w:tblCellMar>
      </w:tblPr>
      <w:tblGrid>
        <w:gridCol w:w="485"/>
        <w:gridCol w:w="849"/>
        <w:gridCol w:w="977"/>
        <w:gridCol w:w="3359"/>
        <w:gridCol w:w="1276"/>
        <w:gridCol w:w="567"/>
        <w:gridCol w:w="635"/>
        <w:gridCol w:w="2774"/>
        <w:gridCol w:w="594"/>
        <w:gridCol w:w="637"/>
        <w:gridCol w:w="594"/>
        <w:gridCol w:w="637"/>
        <w:gridCol w:w="481"/>
        <w:gridCol w:w="411"/>
        <w:gridCol w:w="462"/>
      </w:tblGrid>
      <w:tr>
        <w:tblPrEx>
          <w:tblLayout w:type="fixed"/>
          <w:tblCellMar>
            <w:top w:w="0" w:type="dxa"/>
            <w:left w:w="108" w:type="dxa"/>
            <w:bottom w:w="0" w:type="dxa"/>
            <w:right w:w="108" w:type="dxa"/>
          </w:tblCellMar>
        </w:tblPrEx>
        <w:trPr>
          <w:trHeight w:val="449" w:hRule="atLeast"/>
          <w:tblHeader/>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序号</w:t>
            </w:r>
          </w:p>
        </w:tc>
        <w:tc>
          <w:tcPr>
            <w:tcW w:w="1826" w:type="dxa"/>
            <w:gridSpan w:val="2"/>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公开事项</w:t>
            </w:r>
          </w:p>
        </w:tc>
        <w:tc>
          <w:tcPr>
            <w:tcW w:w="335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公开内容</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(要素)</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公开依据</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时限</w:t>
            </w:r>
          </w:p>
        </w:tc>
        <w:tc>
          <w:tcPr>
            <w:tcW w:w="63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主体</w:t>
            </w:r>
          </w:p>
        </w:tc>
        <w:tc>
          <w:tcPr>
            <w:tcW w:w="2774"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公开渠道和载体</w:t>
            </w:r>
          </w:p>
        </w:tc>
        <w:tc>
          <w:tcPr>
            <w:tcW w:w="1231" w:type="dxa"/>
            <w:gridSpan w:val="2"/>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公开对象</w:t>
            </w:r>
          </w:p>
        </w:tc>
        <w:tc>
          <w:tcPr>
            <w:tcW w:w="1231" w:type="dxa"/>
            <w:gridSpan w:val="2"/>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公开方式</w:t>
            </w:r>
          </w:p>
        </w:tc>
        <w:tc>
          <w:tcPr>
            <w:tcW w:w="1354" w:type="dxa"/>
            <w:gridSpan w:val="3"/>
            <w:tcBorders>
              <w:top w:val="single" w:color="auto" w:sz="4" w:space="0"/>
              <w:left w:val="nil"/>
              <w:bottom w:val="single" w:color="auto" w:sz="4" w:space="0"/>
              <w:right w:val="single" w:color="000000"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公开层级</w:t>
            </w:r>
          </w:p>
        </w:tc>
      </w:tr>
      <w:tr>
        <w:tblPrEx>
          <w:tblLayout w:type="fixed"/>
          <w:tblCellMar>
            <w:top w:w="0" w:type="dxa"/>
            <w:left w:w="108" w:type="dxa"/>
            <w:bottom w:w="0" w:type="dxa"/>
            <w:right w:w="108" w:type="dxa"/>
          </w:tblCellMar>
        </w:tblPrEx>
        <w:trPr>
          <w:trHeight w:val="565" w:hRule="atLeast"/>
          <w:tblHeader/>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849"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一级   事项</w:t>
            </w:r>
          </w:p>
        </w:tc>
        <w:tc>
          <w:tcPr>
            <w:tcW w:w="977"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二级       事项</w:t>
            </w:r>
          </w:p>
        </w:tc>
        <w:tc>
          <w:tcPr>
            <w:tcW w:w="335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2774"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594"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社会</w:t>
            </w:r>
          </w:p>
        </w:tc>
        <w:tc>
          <w:tcPr>
            <w:tcW w:w="637"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群体</w:t>
            </w:r>
          </w:p>
        </w:tc>
        <w:tc>
          <w:tcPr>
            <w:tcW w:w="594"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w:t>
            </w:r>
          </w:p>
        </w:tc>
        <w:tc>
          <w:tcPr>
            <w:tcW w:w="637"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申请</w:t>
            </w:r>
          </w:p>
        </w:tc>
        <w:tc>
          <w:tcPr>
            <w:tcW w:w="481"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市级</w:t>
            </w:r>
          </w:p>
        </w:tc>
        <w:tc>
          <w:tcPr>
            <w:tcW w:w="411"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县级</w:t>
            </w:r>
          </w:p>
        </w:tc>
        <w:tc>
          <w:tcPr>
            <w:tcW w:w="462"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乡级</w:t>
            </w:r>
          </w:p>
        </w:tc>
      </w:tr>
      <w:tr>
        <w:tblPrEx>
          <w:tblLayout w:type="fixed"/>
          <w:tblCellMar>
            <w:top w:w="0" w:type="dxa"/>
            <w:left w:w="108" w:type="dxa"/>
            <w:bottom w:w="0" w:type="dxa"/>
            <w:right w:w="108" w:type="dxa"/>
          </w:tblCellMar>
        </w:tblPrEx>
        <w:trPr>
          <w:trHeight w:val="1994"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城镇燃气管理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燃气经营许可证核发</w:t>
            </w:r>
          </w:p>
        </w:tc>
        <w:tc>
          <w:tcPr>
            <w:tcW w:w="3359" w:type="dxa"/>
            <w:tcBorders>
              <w:top w:val="single" w:color="auto" w:sz="4" w:space="0"/>
              <w:left w:val="single" w:color="auto" w:sz="4" w:space="0"/>
              <w:bottom w:val="single" w:color="auto" w:sz="4" w:space="0"/>
              <w:right w:val="single" w:color="auto" w:sz="4" w:space="0"/>
            </w:tcBorders>
            <w:vAlign w:val="center"/>
          </w:tcPr>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条件：燃气气源应符合国家城镇燃气气质有关标准；有固定办公场所、经营和服务站点等；液化石油气经营者。安全管理制度主要包括：安全生产责任制度，设施设备（含用户设施）安全巡检、检测制度，燃气质量检测制度，岗位操作规程，燃气突发事件应急预案，燃气安全宣传制度等。经营方案主要包括：企业章程、发展规划、工程建设计划，用户发展业务流程、故障报修、投诉处置、质量保障和安全用气服务制度等；应与气源生产供应企业签订供用气合同或供用气意向书；对于已受理的行政许可申请，经审查，认为申请人不具备法律法规规定条件或者不符合法律法规规定要求的，不予许可。</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申请材料：与气源生产供应企业签订的供用气合同或供用气意向书；法定检测机构出具的申请前3个月内的天然气质量检测报告；燃气经营许可申请书 ；办公场所和经营服务场所房屋权证和土地使用证或者租赁合同；综合验收文件；应急预案 ；企业安全管理制度；安全现状评价；危险货物运输资格证复印件，或委托第三方运输单位的危险货物运输资格证复印件。</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申请流程：受理—审查—决定—颁证</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法定依据：《城镇燃气管理条例》</w:t>
            </w:r>
          </w:p>
        </w:tc>
        <w:tc>
          <w:tcPr>
            <w:tcW w:w="1276" w:type="dxa"/>
            <w:tcBorders>
              <w:top w:val="single" w:color="auto" w:sz="4" w:space="0"/>
              <w:left w:val="single" w:color="auto" w:sz="4" w:space="0"/>
              <w:bottom w:val="single" w:color="auto" w:sz="4" w:space="0"/>
              <w:right w:val="single" w:color="auto" w:sz="4" w:space="0"/>
            </w:tcBorders>
            <w:vAlign w:val="center"/>
          </w:tcPr>
          <w:p>
            <w:pPr>
              <w:numPr>
                <w:ilvl w:val="0"/>
                <w:numId w:val="2"/>
              </w:num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《城镇燃气管理条例》；</w:t>
            </w:r>
          </w:p>
          <w:p>
            <w:pPr>
              <w:numPr>
                <w:ilvl w:val="0"/>
                <w:numId w:val="2"/>
              </w:num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《重庆市天然气管理条例》。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市、区县人民政府经信管理部门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82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燃气经营者改动市政燃气设施审批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 申请条件：有安全施工的组织、设计和实施方案；采取安全防护及不影响天然气用户安全正常用气的措施；符合天然气专业规划和安全规定；对于已受理的行政许可申请，经审查，认为申请人不具备法律法规规定条件或者不符合法律法规规定要求的，不予许可。</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2.申请材料：项目建议书；新建、改动天然气设施的申请。</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3.申请流程：受理—审查—决定—颁证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r>
              <w:rPr>
                <w:rFonts w:ascii="方正书宋_GBK" w:hAnsi="方正书宋_GBK" w:eastAsia="方正书宋_GBK" w:cs="方正书宋_GBK"/>
                <w:color w:val="000000"/>
                <w:kern w:val="0"/>
                <w:sz w:val="18"/>
                <w:szCs w:val="18"/>
              </w:rPr>
              <w:t>《城镇燃气管理条例》</w:t>
            </w:r>
            <w:r>
              <w:rPr>
                <w:rFonts w:hint="eastAsia" w:ascii="方正书宋_GBK" w:hAnsi="方正书宋_GBK" w:eastAsia="方正书宋_GBK" w:cs="方正书宋_GBK"/>
                <w:color w:val="000000"/>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1.《城镇燃气管理条例》；</w:t>
            </w:r>
          </w:p>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2.《重庆市天然气管理条例》。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市、区县人民政府经信管理部门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2392"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w:t>
            </w:r>
          </w:p>
        </w:tc>
        <w:tc>
          <w:tcPr>
            <w:tcW w:w="84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城市供水、城镇排水与污水处理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由于工程施工、设备维修等原因确需停止供水的审批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1.申请条件：供水企业由于工程施工、设备维修等原因确需停止供水的。</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2.申请材料：停水方案；应急供水方案（停水时间较长或特殊区域停水提供）。</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4.法定依据：《城市供水条例》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639"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城市供水、城镇排水与污水处理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供水工程建设方案审查</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1.申请条件：供水企业建设供水工程的。</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2.申请材料：立项报告；规划依据；建设方案；安全评估报告（运行期或建设期影响其他设施安全运行的提供）。</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4.法定依据：《重庆市城市供水节水管理条例》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《重庆市城市供水节水管理条例》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66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城镇污水排入排水管网许可</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1.申请条件：符合《室外排水设计规范》、《建筑给水排水设计规范》等相关规范。</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2.申请材料：申请报告（建议按照范本填写）。建设项目排水设计方案和图纸。周边市政排水管网情况。</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3.申请流程：申请人申请材料——排水主管部门办理——申请人领取建设项目排水方案审查意见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4.法定依据：《城镇排水与污水处理条例》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《城镇排水与污水处理条例》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市、区县人民政府住房城乡建设部门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5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因工程建设需要拆除、改动、迁移排水与污水处理设施审核</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1.申请条件：符合《室外排水设计规范》、《建筑给水排水设计规范》等相关规范。</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2.申请材料：申请报告（建议按照范本填写）。建设项目排水设计方案和图纸。周边市政排水管网情况。</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3.申请流程：申请人申请材料——排水主管部门办理——申请人领取建设项目排水方案审查意见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4.法定依据：《城镇排水与污水处理条例》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r>
              <w:rPr>
                <w:rFonts w:hint="eastAsia" w:ascii="方正书宋_GBK" w:hAnsi="方正书宋_GBK" w:eastAsia="方正书宋_GBK" w:cs="方正书宋_GBK"/>
                <w:color w:val="000000"/>
                <w:kern w:val="0"/>
                <w:sz w:val="18"/>
                <w:szCs w:val="18"/>
                <w:lang w:eastAsia="zh-CN"/>
              </w:rPr>
              <w:t>城镇排水与污水处理条例</w:t>
            </w:r>
            <w:r>
              <w:rPr>
                <w:rFonts w:hint="eastAsia" w:ascii="方正书宋_GBK" w:hAnsi="方正书宋_GBK" w:eastAsia="方正书宋_GBK" w:cs="方正书宋_GBK"/>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市、区县人民政府住房城乡建设部门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城镇排水与污水处理规划范围内有关建设项目建设工程规划许可审核</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1.申请条件：符合《室外排水设计规范》、《建筑给水排水设计规范》等相关规范。</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2.申请材料：申请报告（建议按照范本填写）。建设项目排水设计方案和图纸。周边市政排水管网情况。</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3.申请流程：申请人申请材料——排水主管部门办理——申请人领取建设项目排水方案审查意见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4.法定依据：《城镇排水与污水处理条例》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r>
              <w:rPr>
                <w:rFonts w:hint="eastAsia" w:ascii="方正书宋_GBK" w:hAnsi="方正书宋_GBK" w:eastAsia="方正书宋_GBK" w:cs="方正书宋_GBK"/>
                <w:color w:val="000000"/>
                <w:kern w:val="0"/>
                <w:sz w:val="18"/>
                <w:szCs w:val="18"/>
                <w:lang w:eastAsia="zh-CN"/>
              </w:rPr>
              <w:t>城镇排水与污水处理条例</w:t>
            </w:r>
            <w:r>
              <w:rPr>
                <w:rFonts w:hint="eastAsia" w:ascii="方正书宋_GBK" w:hAnsi="方正书宋_GBK" w:eastAsia="方正书宋_GBK" w:cs="方正书宋_GBK"/>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市、区县人民政府住房城乡建设部门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城市园林绿化管理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建设项目涉及园林绿地指标事项审查</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 申请条件：取得《建设用地规划许可证》；取得绿化设计单位资质、营业执照；建设工程项目规划方案设计文本；建设工程项目配套绿地布置总平面图；绿化现状图。</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2.申请材料：《建设用地规划许可证》附件、附图（复印件1份）；绿化设计单位资质、营业执照（复印件盖鲜章）；建设工程项目规划方案设计文本（原件1份，附电子文档）；</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建设工程项目配套绿地布置总平面图（原件2份，设计单位盖章，附CAD电子文档）；绿化现状图（包括现状绿地、大树、古树等情况说明）（原件1份，设计单位盖章，附电子文档）</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4.法定依据：《重庆市园林绿化管理条例》《重庆市都市区城市建设项目配套绿地管理技术规定》</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1.《城市绿化条例》；                                    2.《重庆市园林绿化条例》；                                             3.《重庆市人民政府关于印发重庆市工程建设项目审批制度改革试点实施方案的通知》。</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工程建设涉及城市绿地、树木审批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1.申请条件：申请人和办理人员身份证明。委托其他单位和个人办理的，应当出具委托书。</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2.申请材料：身份材料；申请表；临时占用和占用城市园林绿地，移植、砍伐城市园林树木的清单、平面图或定位图；工程建设项目的规划或建设施工许可文件及图纸，非工程建设项目的主管部门意见。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4.法定依据：《重庆市园林绿化管理条例》《重庆市都市区城市建设项目配套绿地管理技术规定》</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1.《国务院对确需保留的行政审批项目设定行政许可的决定》；                                           2.《城市绿化条例》；                                    3.《重庆市城市园林绿化条例》。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464"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公园内举办大型游乐、展览等活动审批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1.申请条件：公安、安全等行业主管部门审查意见。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2.申请材料：活动方案、安全预案、承办单位的营业执照。</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4.法定依据：《重庆市公园管理条例》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《重庆市公园管理条例》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市容环卫管理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城市建筑垃圾处置核准</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1.申请条件：申请人按照本行政机关要求提交全部补证申请材料的，应当受理行政许可申请</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2.申请材料：建设工程施工许可证和工程施工合同；建筑垃圾处置方案；运输合同（协议）、建筑垃圾施工工地申请书；消纳处理合同（协议）。</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4.法定依据：《城市建筑垃圾管理规定》</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1.《国务院对确需保留的行政审批项目设定行政许可的决定》；                   2.《城市建筑垃圾管理规定》。</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非主干道临时占道经营许可</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1.申请条件：申请人必须是失业、待业人员或残疾人员；经营范围必须是方便居民基本生活的商品或服务；经营设置点必须符合区人民政府布点规划。</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2.申请材料：设置地点平面示意图及设置效果图；申请人身份证；申请材料承诺书；安全承诺书；非主干道临时占道经营申请表；经营活动方案；失业、待业或残疾等证明材料。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4.法定依据：《重庆市市容环境卫生管理条例》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《重庆市市容环境卫生管理条例》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5</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户外广告管理</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17"/>
              </w:tabs>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设置大型户外广告及在城市建筑物、设施上悬挂、张贴宣传品审批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1.申请条件：申请设置大型户外广告的场地单位是否同意；申请单位的营业执照或组织机构代码证是否齐全；符合法律、法规相关规定；申报单位是否提供安全承诺书；符合法律法规相关规定。</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广告设施设置效果图；单位的营业执照或组织机构代码证；户外广告设置依托的建（构）筑物原貌图；广告设施设置安全承诺书；广告设施结构设计图（含平、立面图及结构）；户外广告设施设置场地使用权属证明及协议。</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4.法定依据：《城市市容和环境卫生管理条例》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《城市市容和环境卫生管理条例》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临时户外广告设置许可</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1.申请条件：符合城市管理的有关要求；不得妨碍建筑物、构筑物正常使用；不得影响城市市容和景观；不得妨碍城市消防和城市交通，确保公共安全。</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2.申请材料：发布者身份证明或者代理发布户外广告的经营资格证明复印件。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4.法定依据：《重庆市户外广告管理条例》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《重庆市户外广告管理条例》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6</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市政设施建设管理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关闭、闲置、拆除城市环卫设施许可</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1.申请条件：是否制定了重建或者还建方案；方案是否符合行业标准要求；是否签定重建或还建协议，相关权利和义务是否明确。</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2.申请材料：申请表；企业、事业单位的营业执照或组织机构代码证；环卫设施重建或还建协议；重建或还建方案及设计图。</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4.法定依据：《城市市容和环境卫生管理条例》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1.《中华人民共和国固体废物污染环境防治法》；                           2.《城市市容和环境卫生管理条例》。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市政设施建设类审批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1.申请条件：材料齐全，符合要求</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2.申请材料：市政设施安全影响报告；需附专家组主管部门审批意见；市政设施建设类审批表；涉及己有设施的施工设计图；公安交管部门意见；建设工程规划许可证。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4.法定依据：《城市道路管理条例》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1.《城市道路管理条例》；                                              2.《国务院对确需保留的行政审批项目设定行政许可的决定》；                                                   3.《国务院关于印发清理规范投资项目报建审批事项实施方案的通知》。</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特殊车辆在城市道路上行驶（包括经过城市桥梁）审批</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2.申请材料：道路运输运营许可证；公安交警部门意见；车辆道路运输证；附专家组、主管部门评审意见的市政设施安全影响评估报告。</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4.法定依据：《城市道路管理条例》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《城市道路管理条例》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占用、迁移、拆除城市道路照明设施审核</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1.申请条件：取得建设工程规划许可证。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2.申请材料：建设工程规划许可证；施工组织设计方案；安全评估报告；事故预警和应急抢救方案；管线、迁移等设计图纸。</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4.法定依据：《重庆市市政设施管理条例》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《重庆市市政设施管理条例》</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Layout w:type="fixed"/>
          <w:tblCellMar>
            <w:top w:w="0" w:type="dxa"/>
            <w:left w:w="108" w:type="dxa"/>
            <w:bottom w:w="0" w:type="dxa"/>
            <w:right w:w="108" w:type="dxa"/>
          </w:tblCellMar>
        </w:tblPrEx>
        <w:trPr>
          <w:trHeight w:val="17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6</w:t>
            </w:r>
          </w:p>
        </w:tc>
        <w:tc>
          <w:tcPr>
            <w:tcW w:w="84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市政设施建设管理</w:t>
            </w:r>
          </w:p>
        </w:tc>
        <w:tc>
          <w:tcPr>
            <w:tcW w:w="97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危及市政公用设施安全的建设项目规划审查</w:t>
            </w:r>
          </w:p>
        </w:tc>
        <w:tc>
          <w:tcPr>
            <w:tcW w:w="335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1.申请条件：规划自然资源局核发的规划环节协办通知书</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2.申请材料：建设规划设计方案图；建设项目对有市政设施安全影响评估报告。</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3.申请流程：申请人申请材料——城管部门办理——申请人领取审查意见</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4.法定依据：《重庆市市政设施管理条例》</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1.《重庆市市政设施管理条例》；                        2.《重庆市建设领域行政审批制度改革试点方案》。</w:t>
            </w:r>
          </w:p>
        </w:tc>
        <w:tc>
          <w:tcPr>
            <w:tcW w:w="56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市、区县人民政府城市管理部门</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8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bl>
    <w:p>
      <w:pPr>
        <w:spacing w:line="600" w:lineRule="exact"/>
        <w:rPr>
          <w:rFonts w:ascii="仿宋" w:hAnsi="仿宋" w:eastAsia="仿宋"/>
          <w:sz w:val="30"/>
          <w:szCs w:val="30"/>
        </w:rPr>
      </w:pPr>
    </w:p>
    <w:sectPr>
      <w:pgSz w:w="16838" w:h="11906" w:orient="landscape"/>
      <w:pgMar w:top="1588" w:right="2098" w:bottom="1474"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2779"/>
    <w:multiLevelType w:val="singleLevel"/>
    <w:tmpl w:val="5F112779"/>
    <w:lvl w:ilvl="0" w:tentative="0">
      <w:start w:val="1"/>
      <w:numFmt w:val="decimal"/>
      <w:suff w:val="nothing"/>
      <w:lvlText w:val="%1."/>
      <w:lvlJc w:val="left"/>
    </w:lvl>
  </w:abstractNum>
  <w:abstractNum w:abstractNumId="1">
    <w:nsid w:val="5F150311"/>
    <w:multiLevelType w:val="singleLevel"/>
    <w:tmpl w:val="5F1503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4584"/>
    <w:rsid w:val="000A7901"/>
    <w:rsid w:val="00754584"/>
    <w:rsid w:val="00E001E9"/>
    <w:rsid w:val="00F77FB5"/>
    <w:rsid w:val="00F8115E"/>
    <w:rsid w:val="3351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4431</Words>
  <Characters>25259</Characters>
  <Lines>210</Lines>
  <Paragraphs>59</Paragraphs>
  <TotalTime>0</TotalTime>
  <ScaleCrop>false</ScaleCrop>
  <LinksUpToDate>false</LinksUpToDate>
  <CharactersWithSpaces>29631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2020-11-03T02:54:00Z</dcterms:created>
  <dc:creator>Administrator</dc:creator>
  <cp:lastModifiedBy>张雷</cp:lastModifiedBy>
  <dcterms:modified xsi:type="dcterms:W3CDTF">2024-04-16T06:39:38Z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