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1" w:rightFromText="181" w:horzAnchor="margin" w:tblpXSpec="center" w:tblpYSpec="top"/>
        <w:tblW w:w="0" w:type="auto"/>
        <w:jc w:val="center"/>
        <w:tblLayout w:type="autofit"/>
        <w:tblCellMar>
          <w:top w:w="0" w:type="dxa"/>
          <w:left w:w="108" w:type="dxa"/>
          <w:bottom w:w="0" w:type="dxa"/>
          <w:right w:w="108" w:type="dxa"/>
        </w:tblCellMar>
      </w:tblPr>
      <w:tblGrid>
        <w:gridCol w:w="8833"/>
      </w:tblGrid>
      <w:tr w14:paraId="4DE11B16">
        <w:tblPrEx>
          <w:tblCellMar>
            <w:top w:w="0" w:type="dxa"/>
            <w:left w:w="108" w:type="dxa"/>
            <w:bottom w:w="0" w:type="dxa"/>
            <w:right w:w="108" w:type="dxa"/>
          </w:tblCellMar>
        </w:tblPrEx>
        <w:trPr>
          <w:trHeight w:val="567" w:hRule="exact"/>
          <w:jc w:val="center"/>
        </w:trPr>
        <w:tc>
          <w:tcPr>
            <w:tcW w:w="8833" w:type="dxa"/>
            <w:noWrap w:val="0"/>
            <w:vAlign w:val="top"/>
          </w:tcPr>
          <w:p w14:paraId="5C6AB826">
            <w:pPr>
              <w:spacing w:line="600" w:lineRule="exact"/>
              <w:rPr>
                <w:rFonts w:hint="eastAsia" w:ascii="Times New Roman" w:hAnsi="Times New Roman"/>
                <w:szCs w:val="32"/>
              </w:rPr>
            </w:pPr>
          </w:p>
        </w:tc>
      </w:tr>
      <w:tr w14:paraId="1E73DBF2">
        <w:tblPrEx>
          <w:tblCellMar>
            <w:top w:w="0" w:type="dxa"/>
            <w:left w:w="108" w:type="dxa"/>
            <w:bottom w:w="0" w:type="dxa"/>
            <w:right w:w="108" w:type="dxa"/>
          </w:tblCellMar>
        </w:tblPrEx>
        <w:trPr>
          <w:trHeight w:val="567" w:hRule="exact"/>
          <w:jc w:val="center"/>
        </w:trPr>
        <w:tc>
          <w:tcPr>
            <w:tcW w:w="8833" w:type="dxa"/>
            <w:noWrap w:val="0"/>
            <w:vAlign w:val="center"/>
          </w:tcPr>
          <w:p w14:paraId="70EE46E4">
            <w:pPr>
              <w:jc w:val="center"/>
              <w:rPr>
                <w:rFonts w:hint="eastAsia" w:ascii="Times New Roman" w:hAnsi="Times New Roman" w:eastAsia="方正小标宋简体"/>
                <w:color w:val="FF0000"/>
                <w:w w:val="80"/>
              </w:rPr>
            </w:pPr>
          </w:p>
        </w:tc>
      </w:tr>
      <w:tr w14:paraId="277E3CFE">
        <w:tblPrEx>
          <w:tblCellMar>
            <w:top w:w="0" w:type="dxa"/>
            <w:left w:w="108" w:type="dxa"/>
            <w:bottom w:w="0" w:type="dxa"/>
            <w:right w:w="108" w:type="dxa"/>
          </w:tblCellMar>
        </w:tblPrEx>
        <w:trPr>
          <w:trHeight w:val="567" w:hRule="exact"/>
          <w:jc w:val="center"/>
        </w:trPr>
        <w:tc>
          <w:tcPr>
            <w:tcW w:w="8833" w:type="dxa"/>
            <w:noWrap w:val="0"/>
            <w:vAlign w:val="center"/>
          </w:tcPr>
          <w:p w14:paraId="1B6E5F14">
            <w:pPr>
              <w:jc w:val="center"/>
              <w:rPr>
                <w:rFonts w:hint="eastAsia" w:ascii="Times New Roman" w:hAnsi="Times New Roman" w:eastAsia="方正小标宋简体"/>
                <w:color w:val="FF0000"/>
                <w:w w:val="80"/>
              </w:rPr>
            </w:pPr>
          </w:p>
        </w:tc>
      </w:tr>
      <w:tr w14:paraId="33063C57">
        <w:tblPrEx>
          <w:tblCellMar>
            <w:top w:w="0" w:type="dxa"/>
            <w:left w:w="108" w:type="dxa"/>
            <w:bottom w:w="0" w:type="dxa"/>
            <w:right w:w="108" w:type="dxa"/>
          </w:tblCellMar>
        </w:tblPrEx>
        <w:trPr>
          <w:trHeight w:val="2495" w:hRule="exact"/>
          <w:jc w:val="center"/>
        </w:trPr>
        <w:tc>
          <w:tcPr>
            <w:tcW w:w="8833" w:type="dxa"/>
            <w:noWrap w:val="0"/>
            <w:vAlign w:val="center"/>
          </w:tcPr>
          <w:p w14:paraId="49C45F9B">
            <w:pPr>
              <w:widowControl/>
              <w:shd w:val="clear" w:color="auto" w:fill="FFFFFF"/>
              <w:jc w:val="center"/>
              <w:rPr>
                <w:rFonts w:ascii="Times New Roman" w:hAnsi="Times New Roman" w:eastAsia="方正小标宋_GBK"/>
                <w:b/>
                <w:color w:val="FF0000"/>
                <w:w w:val="50"/>
                <w:sz w:val="110"/>
                <w:szCs w:val="110"/>
              </w:rPr>
            </w:pPr>
            <w:r>
              <w:rPr>
                <w:rFonts w:ascii="Times New Roman" w:hAnsi="Times New Roman" w:eastAsia="方正小标宋_GBK"/>
                <w:b/>
                <w:color w:val="FF0000"/>
                <w:spacing w:val="40"/>
                <w:w w:val="75"/>
                <w:sz w:val="112"/>
                <w:szCs w:val="112"/>
              </w:rPr>
              <w:t>重庆市</w:t>
            </w:r>
            <w:r>
              <w:rPr>
                <w:rFonts w:hint="eastAsia" w:ascii="Times New Roman" w:hAnsi="Times New Roman" w:eastAsia="方正小标宋_GBK"/>
                <w:b/>
                <w:color w:val="FF0000"/>
                <w:spacing w:val="40"/>
                <w:w w:val="75"/>
                <w:sz w:val="112"/>
                <w:szCs w:val="112"/>
              </w:rPr>
              <w:t>开州区统计局</w:t>
            </w:r>
          </w:p>
        </w:tc>
      </w:tr>
      <w:tr w14:paraId="1B594FBB">
        <w:tblPrEx>
          <w:tblCellMar>
            <w:top w:w="0" w:type="dxa"/>
            <w:left w:w="108" w:type="dxa"/>
            <w:bottom w:w="0" w:type="dxa"/>
            <w:right w:w="108" w:type="dxa"/>
          </w:tblCellMar>
        </w:tblPrEx>
        <w:trPr>
          <w:trHeight w:val="1298" w:hRule="exact"/>
          <w:jc w:val="center"/>
        </w:trPr>
        <w:tc>
          <w:tcPr>
            <w:tcW w:w="8833" w:type="dxa"/>
            <w:noWrap/>
            <w:vAlign w:val="bottom"/>
          </w:tcPr>
          <w:p w14:paraId="02DEDB85">
            <w:pPr>
              <w:spacing w:line="600"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开州统发﹝202</w:t>
            </w:r>
            <w:r>
              <w:rPr>
                <w:rFonts w:hint="eastAsia" w:cs="方正仿宋_GBK"/>
                <w:sz w:val="32"/>
                <w:szCs w:val="32"/>
                <w:lang w:val="en-US" w:eastAsia="zh-CN"/>
              </w:rPr>
              <w:t>5</w:t>
            </w:r>
            <w:r>
              <w:rPr>
                <w:rFonts w:hint="eastAsia" w:ascii="Times New Roman" w:hAnsi="Times New Roman" w:eastAsia="方正仿宋_GBK" w:cs="方正仿宋_GBK"/>
                <w:sz w:val="32"/>
                <w:szCs w:val="32"/>
              </w:rPr>
              <w:t>﹞</w:t>
            </w:r>
            <w:r>
              <w:rPr>
                <w:rFonts w:hint="default" w:eastAsia="方正仿宋_GBK" w:cs="方正仿宋_GBK"/>
                <w:sz w:val="32"/>
                <w:szCs w:val="32"/>
                <w:lang w:val="en"/>
              </w:rPr>
              <w:t>8</w:t>
            </w:r>
            <w:r>
              <w:rPr>
                <w:rFonts w:hint="eastAsia" w:ascii="Times New Roman" w:hAnsi="Times New Roman" w:eastAsia="方正仿宋_GBK" w:cs="方正仿宋_GBK"/>
                <w:sz w:val="32"/>
                <w:szCs w:val="32"/>
              </w:rPr>
              <w:t>号</w:t>
            </w:r>
            <w:r>
              <w:rPr>
                <w:rFonts w:hint="eastAsia" w:ascii="Times New Roman" w:hAnsi="Times New Roman"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签发人：</w:t>
            </w:r>
            <w:r>
              <w:rPr>
                <w:rFonts w:hint="default" w:ascii="Times New Roman" w:hAnsi="Times New Roman" w:eastAsia="方正楷体_GBK" w:cs="Times New Roman"/>
                <w:bCs/>
                <w:sz w:val="32"/>
                <w:szCs w:val="32"/>
              </w:rPr>
              <w:t>李</w:t>
            </w:r>
            <w:r>
              <w:rPr>
                <w:rFonts w:hint="default" w:ascii="Times New Roman" w:hAnsi="Times New Roman" w:eastAsia="方正楷体_GBK" w:cs="Times New Roman"/>
                <w:bCs/>
                <w:sz w:val="32"/>
                <w:szCs w:val="32"/>
                <w:lang w:val="en-US" w:eastAsia="zh-CN"/>
              </w:rPr>
              <w:t xml:space="preserve"> </w:t>
            </w:r>
            <w:r>
              <w:rPr>
                <w:rFonts w:hint="default" w:ascii="Times New Roman" w:hAnsi="Times New Roman" w:eastAsia="方正楷体_GBK" w:cs="Times New Roman"/>
                <w:bCs/>
                <w:sz w:val="32"/>
                <w:szCs w:val="32"/>
              </w:rPr>
              <w:t>军</w:t>
            </w:r>
          </w:p>
          <w:p w14:paraId="73E8FCF1">
            <w:pPr>
              <w:spacing w:line="600" w:lineRule="exact"/>
              <w:jc w:val="center"/>
              <w:rPr>
                <w:rFonts w:hint="eastAsia" w:ascii="Times New Roman" w:hAnsi="Times New Roman" w:eastAsia="方正小标宋_GBK"/>
                <w:sz w:val="44"/>
                <w:szCs w:val="44"/>
                <w:lang w:eastAsia="zh-CN"/>
              </w:rPr>
            </w:pPr>
            <w:r>
              <w:rPr>
                <w:rFonts w:hint="eastAsia" w:ascii="Times New Roman" w:hAnsi="Times New Roman"/>
                <w:b/>
                <w:color w:val="FF3300"/>
                <w:spacing w:val="40"/>
                <w:w w:val="75"/>
                <w:sz w:val="110"/>
                <w:szCs w:val="114"/>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93345</wp:posOffset>
                      </wp:positionV>
                      <wp:extent cx="5614035" cy="2032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14035" cy="2032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pt;margin-top:7.35pt;height:1.6pt;width:442.05pt;z-index:251659264;mso-width-relative:page;mso-height-relative:page;" filled="f" stroked="t" coordsize="21600,21600" o:gfxdata="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&#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BtAL1gAAAAkBAAAPAAAAAAAAAAEAIAAAACIAAABk&#10;cnMvZG93bnJldi54bWxQSwECFAAUAAAACACHTuJAssMpLQgCAAABBAAADgAAAAAAAAABACAAAAAl&#10;AQAAZHJzL2Uyb0RvYy54bWxQSwUGAAAAAAYABgBZAQAAnwUAAAAA&#10;">
                      <v:fill on="f" focussize="0,0"/>
                      <v:stroke weight="2pt" color="#FF0000" joinstyle="round"/>
                      <v:imagedata o:title=""/>
                      <o:lock v:ext="edit" aspectratio="f"/>
                    </v:line>
                  </w:pict>
                </mc:Fallback>
              </mc:AlternateContent>
            </w:r>
          </w:p>
          <w:p w14:paraId="0BBA1063">
            <w:pPr>
              <w:spacing w:line="320" w:lineRule="exact"/>
              <w:jc w:val="center"/>
              <w:rPr>
                <w:rFonts w:hint="eastAsia" w:ascii="Times New Roman" w:hAnsi="Times New Roman" w:eastAsia="宋体"/>
                <w:color w:val="FF0000"/>
                <w:sz w:val="32"/>
                <w:szCs w:val="32"/>
              </w:rPr>
            </w:pPr>
          </w:p>
          <w:p w14:paraId="76795682">
            <w:pPr>
              <w:spacing w:line="540" w:lineRule="exact"/>
              <w:jc w:val="center"/>
              <w:rPr>
                <w:rFonts w:hint="eastAsia" w:ascii="Times New Roman" w:hAnsi="Times New Roman"/>
                <w:color w:val="FF0000"/>
                <w:sz w:val="52"/>
                <w:szCs w:val="52"/>
              </w:rPr>
            </w:pPr>
          </w:p>
        </w:tc>
      </w:tr>
    </w:tbl>
    <w:p w14:paraId="5ABBE38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重庆市开州区</w:t>
      </w:r>
      <w:r>
        <w:rPr>
          <w:rFonts w:hint="default" w:ascii="Times New Roman" w:hAnsi="Times New Roman" w:eastAsia="方正小标宋_GBK" w:cs="Times New Roman"/>
          <w:sz w:val="44"/>
          <w:szCs w:val="44"/>
          <w:lang w:eastAsia="zh-CN"/>
        </w:rPr>
        <w:t>统计局（本级）</w:t>
      </w:r>
    </w:p>
    <w:p w14:paraId="14589BE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关于</w:t>
      </w:r>
      <w:r>
        <w:rPr>
          <w:rFonts w:hint="default" w:ascii="Times New Roman" w:hAnsi="Times New Roman" w:eastAsia="方正小标宋_GBK" w:cs="Times New Roman"/>
          <w:sz w:val="44"/>
          <w:szCs w:val="44"/>
          <w:highlight w:val="none"/>
          <w:lang w:val="en-US" w:eastAsia="zh-CN"/>
        </w:rPr>
        <w:t>2025</w:t>
      </w:r>
      <w:r>
        <w:rPr>
          <w:rFonts w:hint="default" w:ascii="Times New Roman" w:hAnsi="Times New Roman" w:eastAsia="方正小标宋_GBK" w:cs="Times New Roman"/>
          <w:sz w:val="44"/>
          <w:szCs w:val="44"/>
          <w:highlight w:val="none"/>
        </w:rPr>
        <w:t>年部门预算情况公开的公告</w:t>
      </w:r>
    </w:p>
    <w:p w14:paraId="594963A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highlight w:val="none"/>
        </w:rPr>
      </w:pPr>
    </w:p>
    <w:p w14:paraId="48A8ED4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按照有关财政预算公开的部署和要求，依据《中华人民共和国政府信息公开条例》（国务院令第492号）和重庆市开州区</w:t>
      </w:r>
      <w:r>
        <w:rPr>
          <w:rFonts w:hint="default" w:ascii="Times New Roman" w:hAnsi="Times New Roman" w:eastAsia="方正仿宋_GBK" w:cs="Times New Roman"/>
          <w:sz w:val="32"/>
          <w:szCs w:val="32"/>
          <w:highlight w:val="none"/>
          <w:lang w:eastAsia="zh-CN"/>
        </w:rPr>
        <w:t>统计</w:t>
      </w:r>
      <w:r>
        <w:rPr>
          <w:rFonts w:hint="default" w:ascii="Times New Roman" w:hAnsi="Times New Roman" w:eastAsia="方正仿宋_GBK" w:cs="Times New Roman"/>
          <w:sz w:val="32"/>
          <w:szCs w:val="32"/>
          <w:highlight w:val="none"/>
        </w:rPr>
        <w:t>局《关于批复所属二级单位2025年预算的通知》（</w:t>
      </w:r>
      <w:r>
        <w:rPr>
          <w:rFonts w:hint="default" w:ascii="Times New Roman" w:hAnsi="Times New Roman" w:eastAsia="方正仿宋_GBK" w:cs="Times New Roman"/>
          <w:sz w:val="32"/>
          <w:szCs w:val="32"/>
          <w:highlight w:val="none"/>
          <w:lang w:eastAsia="zh-CN"/>
        </w:rPr>
        <w:t>开州统发</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号）,现将</w:t>
      </w:r>
      <w:r>
        <w:rPr>
          <w:rFonts w:hint="default" w:ascii="Times New Roman" w:hAnsi="Times New Roman" w:eastAsia="方正仿宋_GBK" w:cs="Times New Roman"/>
          <w:sz w:val="32"/>
          <w:szCs w:val="32"/>
          <w:highlight w:val="none"/>
          <w:lang w:eastAsia="zh-CN"/>
        </w:rPr>
        <w:t>重庆市开州区统计局（本级）</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年部门预算批复情况公开如下：</w:t>
      </w:r>
    </w:p>
    <w:p w14:paraId="3DD8D63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p w14:paraId="18C9EE2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p w14:paraId="05B0105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5EA3B52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sz w:val="44"/>
          <w:szCs w:val="44"/>
          <w:highlight w:val="none"/>
        </w:rPr>
      </w:pPr>
      <w:r>
        <w:rPr>
          <w:rFonts w:hint="eastAsia" w:ascii="方正小标宋_GBK" w:eastAsia="方正小标宋_GBK"/>
          <w:sz w:val="44"/>
          <w:szCs w:val="44"/>
          <w:highlight w:val="none"/>
        </w:rPr>
        <w:t>目   录</w:t>
      </w:r>
    </w:p>
    <w:p w14:paraId="6FD7F935">
      <w:pPr>
        <w:keepNext w:val="0"/>
        <w:keepLines w:val="0"/>
        <w:pageBreakBefore w:val="0"/>
        <w:widowControl w:val="0"/>
        <w:kinsoku/>
        <w:wordWrap/>
        <w:overflowPunct/>
        <w:topLinePunct w:val="0"/>
        <w:autoSpaceDE/>
        <w:autoSpaceDN/>
        <w:bidi w:val="0"/>
        <w:adjustRightInd/>
        <w:snapToGrid/>
        <w:spacing w:line="594" w:lineRule="exact"/>
        <w:textAlignment w:val="auto"/>
        <w:rPr>
          <w:highlight w:val="none"/>
        </w:rPr>
      </w:pPr>
    </w:p>
    <w:p w14:paraId="254CECB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楷体_GBK"/>
          <w:sz w:val="32"/>
          <w:szCs w:val="32"/>
          <w:highlight w:val="none"/>
        </w:rPr>
      </w:pPr>
      <w:r>
        <w:rPr>
          <w:rFonts w:eastAsia="方正楷体_GBK"/>
          <w:sz w:val="32"/>
          <w:szCs w:val="32"/>
          <w:highlight w:val="none"/>
        </w:rPr>
        <w:t>第一部分：</w:t>
      </w:r>
      <w:r>
        <w:rPr>
          <w:rFonts w:hint="eastAsia" w:eastAsia="方正楷体_GBK"/>
          <w:sz w:val="32"/>
          <w:szCs w:val="32"/>
          <w:highlight w:val="none"/>
          <w:lang w:val="en-US" w:eastAsia="zh-CN"/>
        </w:rPr>
        <w:t>2025</w:t>
      </w:r>
      <w:r>
        <w:rPr>
          <w:rFonts w:eastAsia="方正楷体_GBK"/>
          <w:sz w:val="32"/>
          <w:szCs w:val="32"/>
          <w:highlight w:val="none"/>
        </w:rPr>
        <w:t>年部门预算情况说明</w:t>
      </w:r>
    </w:p>
    <w:p w14:paraId="6DF2309F">
      <w:pPr>
        <w:keepNext w:val="0"/>
        <w:keepLines w:val="0"/>
        <w:pageBreakBefore w:val="0"/>
        <w:widowControl w:val="0"/>
        <w:kinsoku/>
        <w:wordWrap/>
        <w:overflowPunct/>
        <w:topLinePunct w:val="0"/>
        <w:autoSpaceDE/>
        <w:autoSpaceDN/>
        <w:bidi w:val="0"/>
        <w:adjustRightInd/>
        <w:snapToGrid/>
        <w:spacing w:line="594" w:lineRule="exact"/>
        <w:textAlignment w:val="auto"/>
        <w:rPr>
          <w:highlight w:val="none"/>
        </w:rPr>
      </w:pPr>
    </w:p>
    <w:p w14:paraId="334CEE6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一、单位基本情况</w:t>
      </w:r>
    </w:p>
    <w:p w14:paraId="4289C56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二、部门收支总体情况</w:t>
      </w:r>
    </w:p>
    <w:p w14:paraId="320DD12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三、部门预算情况说明</w:t>
      </w:r>
    </w:p>
    <w:p w14:paraId="6671280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四、</w:t>
      </w:r>
      <w:r>
        <w:rPr>
          <w:rFonts w:hint="eastAsia" w:ascii="方正仿宋_GBK" w:eastAsia="方正仿宋_GBK"/>
          <w:sz w:val="32"/>
          <w:szCs w:val="32"/>
          <w:highlight w:val="none"/>
        </w:rPr>
        <w:t>“三公”经费</w:t>
      </w:r>
      <w:r>
        <w:rPr>
          <w:rFonts w:eastAsia="方正仿宋_GBK"/>
          <w:sz w:val="32"/>
          <w:szCs w:val="32"/>
          <w:highlight w:val="none"/>
        </w:rPr>
        <w:t>情况说明</w:t>
      </w:r>
    </w:p>
    <w:p w14:paraId="302E607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五、其他重要事项的情况说明</w:t>
      </w:r>
    </w:p>
    <w:p w14:paraId="18708E4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六、专业性名词解释</w:t>
      </w:r>
    </w:p>
    <w:p w14:paraId="68DCF179">
      <w:pPr>
        <w:keepNext w:val="0"/>
        <w:keepLines w:val="0"/>
        <w:pageBreakBefore w:val="0"/>
        <w:widowControl w:val="0"/>
        <w:kinsoku/>
        <w:wordWrap/>
        <w:overflowPunct/>
        <w:topLinePunct w:val="0"/>
        <w:autoSpaceDE/>
        <w:autoSpaceDN/>
        <w:bidi w:val="0"/>
        <w:adjustRightInd/>
        <w:snapToGrid/>
        <w:spacing w:line="594" w:lineRule="exact"/>
        <w:textAlignment w:val="auto"/>
        <w:rPr>
          <w:highlight w:val="none"/>
        </w:rPr>
      </w:pPr>
    </w:p>
    <w:p w14:paraId="1FB7F7E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highlight w:val="none"/>
        </w:rPr>
      </w:pPr>
      <w:r>
        <w:rPr>
          <w:rFonts w:eastAsia="方正楷体_GBK"/>
          <w:sz w:val="32"/>
          <w:szCs w:val="32"/>
          <w:highlight w:val="none"/>
        </w:rPr>
        <w:t>第二部分：</w:t>
      </w:r>
      <w:r>
        <w:rPr>
          <w:rFonts w:hint="eastAsia" w:eastAsia="方正楷体_GBK"/>
          <w:sz w:val="32"/>
          <w:szCs w:val="32"/>
          <w:highlight w:val="none"/>
          <w:lang w:val="en-US" w:eastAsia="zh-CN"/>
        </w:rPr>
        <w:t>2025</w:t>
      </w:r>
      <w:r>
        <w:rPr>
          <w:rFonts w:eastAsia="方正楷体_GBK"/>
          <w:sz w:val="32"/>
          <w:szCs w:val="32"/>
          <w:highlight w:val="none"/>
        </w:rPr>
        <w:t>年部门预算</w:t>
      </w:r>
      <w:r>
        <w:rPr>
          <w:rFonts w:hint="eastAsia" w:eastAsia="方正楷体_GBK"/>
          <w:sz w:val="32"/>
          <w:szCs w:val="32"/>
          <w:highlight w:val="none"/>
        </w:rPr>
        <w:t>公开报</w:t>
      </w:r>
      <w:r>
        <w:rPr>
          <w:rFonts w:eastAsia="方正楷体_GBK"/>
          <w:sz w:val="32"/>
          <w:szCs w:val="32"/>
          <w:highlight w:val="none"/>
        </w:rPr>
        <w:t>表</w:t>
      </w:r>
    </w:p>
    <w:p w14:paraId="0A749016">
      <w:pPr>
        <w:keepNext w:val="0"/>
        <w:keepLines w:val="0"/>
        <w:pageBreakBefore w:val="0"/>
        <w:widowControl w:val="0"/>
        <w:kinsoku/>
        <w:wordWrap/>
        <w:overflowPunct/>
        <w:topLinePunct w:val="0"/>
        <w:autoSpaceDE/>
        <w:autoSpaceDN/>
        <w:bidi w:val="0"/>
        <w:adjustRightInd/>
        <w:snapToGrid/>
        <w:spacing w:line="594" w:lineRule="exact"/>
        <w:textAlignment w:val="auto"/>
        <w:rPr>
          <w:highlight w:val="none"/>
        </w:rPr>
      </w:pPr>
    </w:p>
    <w:p w14:paraId="7EBA775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表1、</w:t>
      </w:r>
      <w:r>
        <w:rPr>
          <w:rFonts w:hint="eastAsia" w:eastAsia="方正仿宋_GBK"/>
          <w:sz w:val="32"/>
          <w:szCs w:val="32"/>
          <w:highlight w:val="none"/>
          <w:lang w:eastAsia="zh-CN"/>
        </w:rPr>
        <w:t>重庆市开州区统计局（本级）</w:t>
      </w:r>
      <w:r>
        <w:rPr>
          <w:rFonts w:hint="eastAsia" w:eastAsia="方正仿宋_GBK"/>
          <w:sz w:val="32"/>
          <w:szCs w:val="32"/>
          <w:highlight w:val="none"/>
        </w:rPr>
        <w:t>收支预算总表</w:t>
      </w:r>
    </w:p>
    <w:p w14:paraId="4DAB5BB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表2、</w:t>
      </w:r>
      <w:r>
        <w:rPr>
          <w:rFonts w:hint="eastAsia" w:eastAsia="方正仿宋_GBK"/>
          <w:sz w:val="32"/>
          <w:szCs w:val="32"/>
          <w:highlight w:val="none"/>
          <w:lang w:eastAsia="zh-CN"/>
        </w:rPr>
        <w:t>重庆市开州区统计局（本级）</w:t>
      </w:r>
      <w:r>
        <w:rPr>
          <w:rFonts w:eastAsia="方正仿宋_GBK"/>
          <w:sz w:val="32"/>
          <w:szCs w:val="32"/>
          <w:highlight w:val="none"/>
        </w:rPr>
        <w:t>收入总表</w:t>
      </w:r>
    </w:p>
    <w:p w14:paraId="4997B21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表3、</w:t>
      </w:r>
      <w:r>
        <w:rPr>
          <w:rFonts w:hint="eastAsia" w:eastAsia="方正仿宋_GBK"/>
          <w:sz w:val="32"/>
          <w:szCs w:val="32"/>
          <w:highlight w:val="none"/>
          <w:lang w:eastAsia="zh-CN"/>
        </w:rPr>
        <w:t>重庆市开州区统计局（本级）</w:t>
      </w:r>
      <w:r>
        <w:rPr>
          <w:rFonts w:hint="eastAsia" w:eastAsia="方正仿宋_GBK"/>
          <w:sz w:val="32"/>
          <w:szCs w:val="32"/>
          <w:highlight w:val="none"/>
        </w:rPr>
        <w:t>本年</w:t>
      </w:r>
      <w:r>
        <w:rPr>
          <w:rFonts w:eastAsia="方正仿宋_GBK"/>
          <w:sz w:val="32"/>
          <w:szCs w:val="32"/>
          <w:highlight w:val="none"/>
        </w:rPr>
        <w:t>支出</w:t>
      </w:r>
      <w:r>
        <w:rPr>
          <w:rFonts w:hint="eastAsia" w:eastAsia="方正仿宋_GBK"/>
          <w:sz w:val="32"/>
          <w:szCs w:val="32"/>
          <w:highlight w:val="none"/>
        </w:rPr>
        <w:t>预算总</w:t>
      </w:r>
      <w:r>
        <w:rPr>
          <w:rFonts w:eastAsia="方正仿宋_GBK"/>
          <w:sz w:val="32"/>
          <w:szCs w:val="32"/>
          <w:highlight w:val="none"/>
        </w:rPr>
        <w:t>表</w:t>
      </w:r>
    </w:p>
    <w:p w14:paraId="74880F1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表4、</w:t>
      </w:r>
      <w:r>
        <w:rPr>
          <w:rFonts w:hint="eastAsia" w:eastAsia="方正仿宋_GBK"/>
          <w:sz w:val="32"/>
          <w:szCs w:val="32"/>
          <w:highlight w:val="none"/>
          <w:lang w:eastAsia="zh-CN"/>
        </w:rPr>
        <w:t>重庆市开州区统计局（本级）</w:t>
      </w:r>
      <w:r>
        <w:rPr>
          <w:rFonts w:eastAsia="方正仿宋_GBK"/>
          <w:sz w:val="32"/>
          <w:szCs w:val="32"/>
          <w:highlight w:val="none"/>
        </w:rPr>
        <w:t>财政拨款收支</w:t>
      </w:r>
      <w:r>
        <w:rPr>
          <w:rFonts w:hint="eastAsia" w:eastAsia="方正仿宋_GBK"/>
          <w:sz w:val="32"/>
          <w:szCs w:val="32"/>
          <w:highlight w:val="none"/>
        </w:rPr>
        <w:t>预算总</w:t>
      </w:r>
      <w:r>
        <w:rPr>
          <w:rFonts w:eastAsia="方正仿宋_GBK"/>
          <w:sz w:val="32"/>
          <w:szCs w:val="32"/>
          <w:highlight w:val="none"/>
        </w:rPr>
        <w:t>表</w:t>
      </w:r>
    </w:p>
    <w:p w14:paraId="4834745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表5、</w:t>
      </w:r>
      <w:r>
        <w:rPr>
          <w:rFonts w:hint="eastAsia" w:eastAsia="方正仿宋_GBK"/>
          <w:sz w:val="32"/>
          <w:szCs w:val="32"/>
          <w:highlight w:val="none"/>
          <w:lang w:eastAsia="zh-CN"/>
        </w:rPr>
        <w:t>重庆市开州区统计局（本级）</w:t>
      </w:r>
      <w:r>
        <w:rPr>
          <w:rFonts w:hint="eastAsia" w:eastAsia="方正仿宋_GBK"/>
          <w:sz w:val="32"/>
          <w:szCs w:val="32"/>
          <w:highlight w:val="none"/>
        </w:rPr>
        <w:t>本年</w:t>
      </w:r>
      <w:r>
        <w:rPr>
          <w:rFonts w:eastAsia="方正仿宋_GBK"/>
          <w:sz w:val="32"/>
          <w:szCs w:val="32"/>
          <w:highlight w:val="none"/>
        </w:rPr>
        <w:t>一般公共预算支出</w:t>
      </w:r>
      <w:r>
        <w:rPr>
          <w:rFonts w:hint="eastAsia" w:eastAsia="方正仿宋_GBK"/>
          <w:sz w:val="32"/>
          <w:szCs w:val="32"/>
          <w:highlight w:val="none"/>
        </w:rPr>
        <w:t>预算</w:t>
      </w:r>
      <w:r>
        <w:rPr>
          <w:rFonts w:eastAsia="方正仿宋_GBK"/>
          <w:sz w:val="32"/>
          <w:szCs w:val="32"/>
          <w:highlight w:val="none"/>
        </w:rPr>
        <w:t>表</w:t>
      </w:r>
    </w:p>
    <w:p w14:paraId="6519AA8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表6、</w:t>
      </w:r>
      <w:r>
        <w:rPr>
          <w:rFonts w:hint="eastAsia" w:eastAsia="方正仿宋_GBK"/>
          <w:sz w:val="32"/>
          <w:szCs w:val="32"/>
          <w:highlight w:val="none"/>
          <w:lang w:eastAsia="zh-CN"/>
        </w:rPr>
        <w:t>重庆市开州区统计局（本级）</w:t>
      </w:r>
      <w:r>
        <w:rPr>
          <w:rFonts w:eastAsia="方正仿宋_GBK"/>
          <w:sz w:val="32"/>
          <w:szCs w:val="32"/>
          <w:highlight w:val="none"/>
        </w:rPr>
        <w:t>一般公共预算基本支出</w:t>
      </w:r>
      <w:r>
        <w:rPr>
          <w:rFonts w:hint="eastAsia" w:eastAsia="方正仿宋_GBK"/>
          <w:sz w:val="32"/>
          <w:szCs w:val="32"/>
          <w:highlight w:val="none"/>
        </w:rPr>
        <w:t>预算</w:t>
      </w:r>
      <w:r>
        <w:rPr>
          <w:rFonts w:eastAsia="方正仿宋_GBK"/>
          <w:sz w:val="32"/>
          <w:szCs w:val="32"/>
          <w:highlight w:val="none"/>
        </w:rPr>
        <w:t>表</w:t>
      </w:r>
    </w:p>
    <w:p w14:paraId="776DC0E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表7、</w:t>
      </w:r>
      <w:r>
        <w:rPr>
          <w:rFonts w:hint="eastAsia" w:eastAsia="方正仿宋_GBK"/>
          <w:sz w:val="32"/>
          <w:szCs w:val="32"/>
          <w:highlight w:val="none"/>
          <w:lang w:eastAsia="zh-CN"/>
        </w:rPr>
        <w:t>重庆市开州区统计局（本级）</w:t>
      </w:r>
      <w:r>
        <w:rPr>
          <w:rFonts w:eastAsia="方正仿宋_GBK"/>
          <w:sz w:val="32"/>
          <w:szCs w:val="32"/>
          <w:highlight w:val="none"/>
        </w:rPr>
        <w:t>一般公共预</w:t>
      </w:r>
      <w:r>
        <w:rPr>
          <w:rFonts w:hint="eastAsia" w:ascii="方正仿宋_GBK" w:eastAsia="方正仿宋_GBK"/>
          <w:sz w:val="32"/>
          <w:szCs w:val="32"/>
          <w:highlight w:val="none"/>
        </w:rPr>
        <w:t>算“三公”经费</w:t>
      </w:r>
      <w:r>
        <w:rPr>
          <w:rFonts w:eastAsia="方正仿宋_GBK"/>
          <w:sz w:val="32"/>
          <w:szCs w:val="32"/>
          <w:highlight w:val="none"/>
        </w:rPr>
        <w:t>支出</w:t>
      </w:r>
      <w:r>
        <w:rPr>
          <w:rFonts w:hint="eastAsia" w:eastAsia="方正仿宋_GBK"/>
          <w:sz w:val="32"/>
          <w:szCs w:val="32"/>
          <w:highlight w:val="none"/>
        </w:rPr>
        <w:t>预算</w:t>
      </w:r>
      <w:r>
        <w:rPr>
          <w:rFonts w:eastAsia="方正仿宋_GBK"/>
          <w:sz w:val="32"/>
          <w:szCs w:val="32"/>
          <w:highlight w:val="none"/>
        </w:rPr>
        <w:t>表</w:t>
      </w:r>
    </w:p>
    <w:p w14:paraId="2EFA753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表8、</w:t>
      </w:r>
      <w:r>
        <w:rPr>
          <w:rFonts w:hint="eastAsia" w:eastAsia="方正仿宋_GBK"/>
          <w:sz w:val="32"/>
          <w:szCs w:val="32"/>
          <w:highlight w:val="none"/>
          <w:lang w:eastAsia="zh-CN"/>
        </w:rPr>
        <w:t>重庆市开州区统计局（本级）</w:t>
      </w:r>
      <w:r>
        <w:rPr>
          <w:rFonts w:eastAsia="方正仿宋_GBK"/>
          <w:sz w:val="32"/>
          <w:szCs w:val="32"/>
          <w:highlight w:val="none"/>
        </w:rPr>
        <w:t>政府性基金预算支出</w:t>
      </w:r>
      <w:r>
        <w:rPr>
          <w:rFonts w:hint="eastAsia" w:eastAsia="方正仿宋_GBK"/>
          <w:sz w:val="32"/>
          <w:szCs w:val="32"/>
          <w:highlight w:val="none"/>
        </w:rPr>
        <w:t>预算</w:t>
      </w:r>
      <w:r>
        <w:rPr>
          <w:rFonts w:eastAsia="方正仿宋_GBK"/>
          <w:sz w:val="32"/>
          <w:szCs w:val="32"/>
          <w:highlight w:val="none"/>
        </w:rPr>
        <w:t>表</w:t>
      </w:r>
    </w:p>
    <w:p w14:paraId="4D6B749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表9、</w:t>
      </w:r>
      <w:r>
        <w:rPr>
          <w:rFonts w:hint="eastAsia" w:eastAsia="方正仿宋_GBK"/>
          <w:sz w:val="32"/>
          <w:szCs w:val="32"/>
          <w:highlight w:val="none"/>
          <w:lang w:eastAsia="zh-CN"/>
        </w:rPr>
        <w:t>重庆市开州区统计局（本级）</w:t>
      </w:r>
      <w:r>
        <w:rPr>
          <w:rFonts w:eastAsia="方正仿宋_GBK"/>
          <w:sz w:val="32"/>
          <w:szCs w:val="32"/>
          <w:highlight w:val="none"/>
        </w:rPr>
        <w:t>国有资本经营预算支出</w:t>
      </w:r>
      <w:r>
        <w:rPr>
          <w:rFonts w:hint="eastAsia" w:eastAsia="方正仿宋_GBK"/>
          <w:sz w:val="32"/>
          <w:szCs w:val="32"/>
          <w:highlight w:val="none"/>
        </w:rPr>
        <w:t>预算</w:t>
      </w:r>
      <w:r>
        <w:rPr>
          <w:rFonts w:eastAsia="方正仿宋_GBK"/>
          <w:sz w:val="32"/>
          <w:szCs w:val="32"/>
          <w:highlight w:val="none"/>
        </w:rPr>
        <w:t>表</w:t>
      </w:r>
    </w:p>
    <w:p w14:paraId="6873F11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表10、</w:t>
      </w:r>
      <w:r>
        <w:rPr>
          <w:rFonts w:hint="eastAsia" w:eastAsia="方正仿宋_GBK"/>
          <w:sz w:val="32"/>
          <w:szCs w:val="32"/>
          <w:highlight w:val="none"/>
          <w:lang w:eastAsia="zh-CN"/>
        </w:rPr>
        <w:t>重庆市开州区统计局（本级）</w:t>
      </w:r>
      <w:r>
        <w:rPr>
          <w:rFonts w:eastAsia="方正仿宋_GBK"/>
          <w:sz w:val="32"/>
          <w:szCs w:val="32"/>
          <w:highlight w:val="none"/>
        </w:rPr>
        <w:t>项目支出表</w:t>
      </w:r>
    </w:p>
    <w:p w14:paraId="77564CF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highlight w:val="none"/>
        </w:rPr>
      </w:pPr>
      <w:r>
        <w:rPr>
          <w:rFonts w:eastAsia="方正仿宋_GBK"/>
          <w:sz w:val="32"/>
          <w:szCs w:val="32"/>
          <w:highlight w:val="none"/>
        </w:rPr>
        <w:t>表11、</w:t>
      </w:r>
      <w:r>
        <w:rPr>
          <w:rFonts w:hint="eastAsia" w:eastAsia="方正仿宋_GBK"/>
          <w:sz w:val="32"/>
          <w:szCs w:val="32"/>
          <w:highlight w:val="none"/>
        </w:rPr>
        <w:t>202</w:t>
      </w:r>
      <w:r>
        <w:rPr>
          <w:rFonts w:hint="eastAsia" w:eastAsia="方正仿宋_GBK"/>
          <w:sz w:val="32"/>
          <w:szCs w:val="32"/>
          <w:highlight w:val="none"/>
          <w:lang w:val="en-US" w:eastAsia="zh-CN"/>
        </w:rPr>
        <w:t>5</w:t>
      </w:r>
      <w:r>
        <w:rPr>
          <w:rFonts w:hint="eastAsia" w:eastAsia="方正仿宋_GBK"/>
          <w:sz w:val="32"/>
          <w:szCs w:val="32"/>
          <w:highlight w:val="none"/>
        </w:rPr>
        <w:t>年</w:t>
      </w:r>
      <w:r>
        <w:rPr>
          <w:rFonts w:hint="eastAsia" w:eastAsia="方正仿宋_GBK"/>
          <w:sz w:val="32"/>
          <w:szCs w:val="32"/>
          <w:highlight w:val="none"/>
          <w:lang w:eastAsia="zh-CN"/>
        </w:rPr>
        <w:t>重庆市开州区统计局（本级）</w:t>
      </w:r>
      <w:r>
        <w:rPr>
          <w:rFonts w:eastAsia="方正仿宋_GBK"/>
          <w:sz w:val="32"/>
          <w:szCs w:val="32"/>
          <w:highlight w:val="none"/>
        </w:rPr>
        <w:t>项目绩效目标表</w:t>
      </w:r>
    </w:p>
    <w:p w14:paraId="70CE8396">
      <w:pPr>
        <w:rPr>
          <w:highlight w:val="none"/>
        </w:rPr>
      </w:pPr>
    </w:p>
    <w:p w14:paraId="24722CCB">
      <w:pPr>
        <w:rPr>
          <w:highlight w:val="none"/>
        </w:rPr>
      </w:pPr>
    </w:p>
    <w:p w14:paraId="697460AF">
      <w:pPr>
        <w:rPr>
          <w:highlight w:val="none"/>
        </w:rPr>
      </w:pPr>
    </w:p>
    <w:p w14:paraId="28333629">
      <w:pPr>
        <w:rPr>
          <w:highlight w:val="none"/>
        </w:rPr>
      </w:pPr>
    </w:p>
    <w:p w14:paraId="347012B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highlight w:val="none"/>
        </w:rPr>
      </w:pPr>
      <w:r>
        <w:rPr>
          <w:rFonts w:eastAsia="方正小标宋_GBK"/>
          <w:sz w:val="44"/>
          <w:szCs w:val="44"/>
          <w:highlight w:val="none"/>
        </w:rPr>
        <w:br w:type="page"/>
      </w:r>
      <w:r>
        <w:rPr>
          <w:rFonts w:hint="default" w:ascii="Times New Roman" w:hAnsi="Times New Roman" w:eastAsia="方正小标宋_GBK" w:cs="Times New Roman"/>
          <w:sz w:val="44"/>
          <w:szCs w:val="44"/>
          <w:highlight w:val="none"/>
        </w:rPr>
        <w:t>第一部分：</w:t>
      </w:r>
      <w:r>
        <w:rPr>
          <w:rFonts w:hint="default" w:ascii="Times New Roman" w:hAnsi="Times New Roman" w:eastAsia="方正小标宋_GBK" w:cs="Times New Roman"/>
          <w:sz w:val="44"/>
          <w:szCs w:val="44"/>
          <w:highlight w:val="none"/>
          <w:lang w:val="en-US" w:eastAsia="zh-CN"/>
        </w:rPr>
        <w:t>2025</w:t>
      </w:r>
      <w:r>
        <w:rPr>
          <w:rFonts w:hint="default" w:ascii="Times New Roman" w:hAnsi="Times New Roman" w:eastAsia="方正小标宋_GBK" w:cs="Times New Roman"/>
          <w:sz w:val="44"/>
          <w:szCs w:val="44"/>
          <w:highlight w:val="none"/>
        </w:rPr>
        <w:t>年部门预算情况说明</w:t>
      </w:r>
    </w:p>
    <w:p w14:paraId="5DD7616E">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default" w:ascii="Times New Roman" w:hAnsi="Times New Roman" w:eastAsia="华文中宋" w:cs="Times New Roman"/>
          <w:sz w:val="44"/>
          <w:szCs w:val="44"/>
          <w:highlight w:val="none"/>
        </w:rPr>
      </w:pPr>
    </w:p>
    <w:p w14:paraId="0D6160E0">
      <w:pPr>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rPr>
        <w:t>一、单位基本情况</w:t>
      </w:r>
    </w:p>
    <w:p w14:paraId="36EE11D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sz w:val="32"/>
          <w:highlight w:val="none"/>
        </w:rPr>
      </w:pPr>
      <w:r>
        <w:rPr>
          <w:rFonts w:hint="default" w:ascii="Times New Roman" w:hAnsi="Times New Roman" w:eastAsia="方正楷体_GBK" w:cs="Times New Roman"/>
          <w:sz w:val="32"/>
          <w:highlight w:val="none"/>
        </w:rPr>
        <w:t>（一）职能职责</w:t>
      </w:r>
    </w:p>
    <w:p w14:paraId="5A2EC0F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执行统计法律法规，查处统计违法行为；承担组织领导和管理协调全区统计工作；管理和指导区乡及部门统计工作；建立有关统计数据质量审核、评估和监控制度并组织实施；开展经济社会发展统计监测、预警及评价；开展统计教育和交流；建立完善统计信息化。</w:t>
      </w:r>
    </w:p>
    <w:p w14:paraId="66467A53">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640" w:firstLine="0" w:firstLineChars="0"/>
        <w:jc w:val="left"/>
        <w:textAlignment w:val="auto"/>
        <w:rPr>
          <w:rFonts w:hint="default" w:ascii="Times New Roman" w:hAnsi="Times New Roman" w:eastAsia="方正楷体_GBK" w:cs="Times New Roman"/>
          <w:sz w:val="32"/>
          <w:highlight w:val="none"/>
        </w:rPr>
      </w:pPr>
      <w:r>
        <w:rPr>
          <w:rFonts w:hint="default" w:ascii="Times New Roman" w:hAnsi="Times New Roman" w:eastAsia="方正楷体_GBK" w:cs="Times New Roman"/>
          <w:sz w:val="32"/>
          <w:highlight w:val="none"/>
        </w:rPr>
        <w:t>（二）单位构成</w:t>
      </w:r>
    </w:p>
    <w:p w14:paraId="156C79C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szCs w:val="32"/>
        </w:rPr>
        <w:t>局机关内设5个职能科室，党政办公室（信访办公室）、综合核算科、执法监察科、工业投资科、商贸服务科。</w:t>
      </w:r>
    </w:p>
    <w:p w14:paraId="2EE20E72">
      <w:pPr>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default" w:ascii="Times New Roman" w:hAnsi="Times New Roman" w:eastAsia="方正仿宋_GBK" w:cs="Times New Roman"/>
          <w:sz w:val="32"/>
          <w:highlight w:val="none"/>
        </w:rPr>
      </w:pPr>
      <w:r>
        <w:rPr>
          <w:rFonts w:hint="default" w:ascii="Times New Roman" w:hAnsi="Times New Roman" w:eastAsia="方正黑体_GBK" w:cs="Times New Roman"/>
          <w:sz w:val="32"/>
          <w:highlight w:val="none"/>
        </w:rPr>
        <w:t>二、部门收支总体情况</w:t>
      </w:r>
    </w:p>
    <w:p w14:paraId="40297ED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楷体_GBK" w:cs="Times New Roman"/>
          <w:sz w:val="32"/>
          <w:highlight w:val="none"/>
        </w:rPr>
        <w:t>（一）收入预算：</w:t>
      </w: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年年初预算数</w:t>
      </w:r>
      <w:r>
        <w:rPr>
          <w:rFonts w:hint="default" w:ascii="Times New Roman" w:hAnsi="Times New Roman" w:eastAsia="方正仿宋_GBK" w:cs="Times New Roman"/>
          <w:sz w:val="32"/>
          <w:highlight w:val="none"/>
          <w:lang w:val="en-US" w:eastAsia="zh-CN"/>
        </w:rPr>
        <w:t>501.64</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上年结转</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万元，其中：一般公共预算拨款</w:t>
      </w:r>
      <w:r>
        <w:rPr>
          <w:rFonts w:hint="default" w:ascii="Times New Roman" w:hAnsi="Times New Roman" w:eastAsia="方正仿宋_GBK" w:cs="Times New Roman"/>
          <w:sz w:val="32"/>
          <w:highlight w:val="none"/>
          <w:lang w:val="en-US" w:eastAsia="zh-CN"/>
        </w:rPr>
        <w:t>501.64</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上年结转</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万元，政府性基金预算拨款</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上年结转</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万元，国有资本经营预算收入</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上年结转</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万元，事业收入</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万元，事业单位经营收入</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万元，其他收入</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万元。收入较</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年增加</w:t>
      </w:r>
      <w:r>
        <w:rPr>
          <w:rFonts w:hint="default" w:ascii="Times New Roman" w:hAnsi="Times New Roman" w:eastAsia="方正仿宋_GBK" w:cs="Times New Roman"/>
          <w:sz w:val="32"/>
          <w:highlight w:val="none"/>
          <w:lang w:val="en-US" w:eastAsia="zh-CN"/>
        </w:rPr>
        <w:t>2.83</w:t>
      </w:r>
      <w:r>
        <w:rPr>
          <w:rFonts w:hint="default" w:ascii="Times New Roman" w:hAnsi="Times New Roman" w:eastAsia="方正仿宋_GBK" w:cs="Times New Roman"/>
          <w:sz w:val="32"/>
          <w:highlight w:val="none"/>
        </w:rPr>
        <w:t>万元，主要是</w:t>
      </w:r>
      <w:r>
        <w:rPr>
          <w:rFonts w:hint="default" w:ascii="Times New Roman" w:hAnsi="Times New Roman" w:eastAsia="方正仿宋_GBK" w:cs="Times New Roman"/>
          <w:sz w:val="32"/>
          <w:highlight w:val="none"/>
          <w:lang w:eastAsia="zh-CN"/>
        </w:rPr>
        <w:t>基本支出</w:t>
      </w:r>
      <w:r>
        <w:rPr>
          <w:rFonts w:hint="default" w:ascii="Times New Roman" w:hAnsi="Times New Roman" w:eastAsia="方正仿宋_GBK" w:cs="Times New Roman"/>
          <w:sz w:val="32"/>
          <w:highlight w:val="none"/>
        </w:rPr>
        <w:t>经费拨款增加</w:t>
      </w:r>
      <w:r>
        <w:rPr>
          <w:rFonts w:hint="default" w:ascii="Times New Roman" w:hAnsi="Times New Roman" w:eastAsia="方正仿宋_GBK" w:cs="Times New Roman"/>
          <w:sz w:val="32"/>
          <w:highlight w:val="none"/>
          <w:lang w:val="en-US" w:eastAsia="zh-CN"/>
        </w:rPr>
        <w:t>7.08</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，项目经费支出减少</w:t>
      </w:r>
      <w:r>
        <w:rPr>
          <w:rFonts w:hint="default" w:ascii="Times New Roman" w:hAnsi="Times New Roman" w:eastAsia="方正仿宋_GBK" w:cs="Times New Roman"/>
          <w:sz w:val="32"/>
          <w:highlight w:val="none"/>
          <w:lang w:val="en-US" w:eastAsia="zh-CN"/>
        </w:rPr>
        <w:t>4.25万元</w:t>
      </w:r>
      <w:r>
        <w:rPr>
          <w:rFonts w:hint="default" w:ascii="Times New Roman" w:hAnsi="Times New Roman" w:eastAsia="方正仿宋_GBK" w:cs="Times New Roman"/>
          <w:sz w:val="32"/>
          <w:highlight w:val="none"/>
        </w:rPr>
        <w:t>。</w:t>
      </w:r>
    </w:p>
    <w:p w14:paraId="3A220C3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楷体_GBK" w:cs="Times New Roman"/>
          <w:sz w:val="32"/>
          <w:highlight w:val="none"/>
        </w:rPr>
        <w:t>（二）支出预算：</w:t>
      </w: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年年初预算数</w:t>
      </w:r>
      <w:r>
        <w:rPr>
          <w:rFonts w:hint="default" w:ascii="Times New Roman" w:hAnsi="Times New Roman" w:eastAsia="方正仿宋_GBK" w:cs="Times New Roman"/>
          <w:sz w:val="32"/>
          <w:highlight w:val="none"/>
          <w:lang w:val="en-US" w:eastAsia="zh-CN"/>
        </w:rPr>
        <w:t>501.64</w:t>
      </w:r>
      <w:r>
        <w:rPr>
          <w:rFonts w:hint="default" w:ascii="Times New Roman" w:hAnsi="Times New Roman" w:eastAsia="方正仿宋_GBK" w:cs="Times New Roman"/>
          <w:sz w:val="32"/>
          <w:highlight w:val="none"/>
        </w:rPr>
        <w:t>万元，其中：一般公共服务支出预算</w:t>
      </w:r>
      <w:r>
        <w:rPr>
          <w:rFonts w:hint="default" w:ascii="Times New Roman" w:hAnsi="Times New Roman" w:eastAsia="方正仿宋_GBK" w:cs="Times New Roman"/>
          <w:sz w:val="32"/>
          <w:highlight w:val="none"/>
          <w:lang w:val="en-US" w:eastAsia="zh-CN"/>
        </w:rPr>
        <w:t>421.07</w:t>
      </w:r>
      <w:r>
        <w:rPr>
          <w:rFonts w:hint="default" w:ascii="Times New Roman" w:hAnsi="Times New Roman" w:eastAsia="方正仿宋_GBK" w:cs="Times New Roman"/>
          <w:sz w:val="32"/>
          <w:highlight w:val="none"/>
        </w:rPr>
        <w:t>万元，教育支出预算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万元，社会保障和就业支出预算</w:t>
      </w:r>
      <w:r>
        <w:rPr>
          <w:rFonts w:hint="default" w:ascii="Times New Roman" w:hAnsi="Times New Roman" w:eastAsia="方正仿宋_GBK" w:cs="Times New Roman"/>
          <w:sz w:val="32"/>
          <w:highlight w:val="none"/>
          <w:lang w:val="en-US" w:eastAsia="zh-CN"/>
        </w:rPr>
        <w:t>44.3</w:t>
      </w:r>
      <w:r>
        <w:rPr>
          <w:rFonts w:hint="default" w:ascii="Times New Roman" w:hAnsi="Times New Roman" w:eastAsia="方正仿宋_GBK" w:cs="Times New Roman"/>
          <w:sz w:val="32"/>
          <w:highlight w:val="none"/>
        </w:rPr>
        <w:t>万元，卫生健康支出预算</w:t>
      </w:r>
      <w:r>
        <w:rPr>
          <w:rFonts w:hint="default" w:ascii="Times New Roman" w:hAnsi="Times New Roman" w:eastAsia="方正仿宋_GBK" w:cs="Times New Roman"/>
          <w:sz w:val="32"/>
          <w:highlight w:val="none"/>
          <w:lang w:val="en-US" w:eastAsia="zh-CN"/>
        </w:rPr>
        <w:t>16.74</w:t>
      </w:r>
      <w:r>
        <w:rPr>
          <w:rFonts w:hint="default" w:ascii="Times New Roman" w:hAnsi="Times New Roman" w:eastAsia="方正仿宋_GBK" w:cs="Times New Roman"/>
          <w:sz w:val="32"/>
          <w:highlight w:val="none"/>
        </w:rPr>
        <w:t>万元，住房保障支出预算</w:t>
      </w:r>
      <w:r>
        <w:rPr>
          <w:rFonts w:hint="default" w:ascii="Times New Roman" w:hAnsi="Times New Roman" w:eastAsia="方正仿宋_GBK" w:cs="Times New Roman"/>
          <w:sz w:val="32"/>
          <w:highlight w:val="none"/>
          <w:lang w:val="en-US" w:eastAsia="zh-CN"/>
        </w:rPr>
        <w:t>19.53</w:t>
      </w:r>
      <w:r>
        <w:rPr>
          <w:rFonts w:hint="default" w:ascii="Times New Roman" w:hAnsi="Times New Roman" w:eastAsia="方正仿宋_GBK" w:cs="Times New Roman"/>
          <w:sz w:val="32"/>
          <w:highlight w:val="none"/>
        </w:rPr>
        <w:t>万元。支出预算较</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年增加</w:t>
      </w:r>
      <w:r>
        <w:rPr>
          <w:rFonts w:hint="default" w:ascii="Times New Roman" w:hAnsi="Times New Roman" w:eastAsia="方正仿宋_GBK" w:cs="Times New Roman"/>
          <w:sz w:val="32"/>
          <w:highlight w:val="none"/>
          <w:lang w:val="en-US" w:eastAsia="zh-CN"/>
        </w:rPr>
        <w:t>2.83</w:t>
      </w:r>
      <w:r>
        <w:rPr>
          <w:rFonts w:hint="default" w:ascii="Times New Roman" w:hAnsi="Times New Roman" w:eastAsia="方正仿宋_GBK" w:cs="Times New Roman"/>
          <w:sz w:val="32"/>
          <w:highlight w:val="none"/>
        </w:rPr>
        <w:t>万元，主要是</w:t>
      </w:r>
      <w:r>
        <w:rPr>
          <w:rFonts w:hint="default" w:ascii="Times New Roman" w:hAnsi="Times New Roman" w:eastAsia="方正仿宋_GBK" w:cs="Times New Roman"/>
          <w:sz w:val="32"/>
          <w:highlight w:val="none"/>
          <w:lang w:eastAsia="zh-CN"/>
        </w:rPr>
        <w:t>基本支出</w:t>
      </w:r>
      <w:r>
        <w:rPr>
          <w:rFonts w:hint="default" w:ascii="Times New Roman" w:hAnsi="Times New Roman" w:eastAsia="方正仿宋_GBK" w:cs="Times New Roman"/>
          <w:sz w:val="32"/>
          <w:highlight w:val="none"/>
        </w:rPr>
        <w:t>经费拨款增加</w:t>
      </w:r>
      <w:r>
        <w:rPr>
          <w:rFonts w:hint="default" w:ascii="Times New Roman" w:hAnsi="Times New Roman" w:eastAsia="方正仿宋_GBK" w:cs="Times New Roman"/>
          <w:sz w:val="32"/>
          <w:highlight w:val="none"/>
          <w:lang w:val="en-US" w:eastAsia="zh-CN"/>
        </w:rPr>
        <w:t>7.08</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，项目经费支出减少</w:t>
      </w:r>
      <w:r>
        <w:rPr>
          <w:rFonts w:hint="default" w:ascii="Times New Roman" w:hAnsi="Times New Roman" w:eastAsia="方正仿宋_GBK" w:cs="Times New Roman"/>
          <w:sz w:val="32"/>
          <w:highlight w:val="none"/>
          <w:lang w:val="en-US" w:eastAsia="zh-CN"/>
        </w:rPr>
        <w:t>4.25万元</w:t>
      </w:r>
      <w:r>
        <w:rPr>
          <w:rFonts w:hint="default" w:ascii="Times New Roman" w:hAnsi="Times New Roman" w:eastAsia="方正仿宋_GBK" w:cs="Times New Roman"/>
          <w:sz w:val="32"/>
          <w:highlight w:val="none"/>
        </w:rPr>
        <w:t>。</w:t>
      </w:r>
    </w:p>
    <w:p w14:paraId="4B70C07E">
      <w:pPr>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rPr>
        <w:t>三、部门预算情况说明</w:t>
      </w:r>
    </w:p>
    <w:p w14:paraId="46C8D8F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年一般公共预算财政拨款收入</w:t>
      </w:r>
      <w:r>
        <w:rPr>
          <w:rFonts w:hint="default" w:ascii="Times New Roman" w:hAnsi="Times New Roman" w:eastAsia="方正仿宋_GBK" w:cs="Times New Roman"/>
          <w:sz w:val="32"/>
          <w:highlight w:val="none"/>
          <w:lang w:val="en-US" w:eastAsia="zh-CN"/>
        </w:rPr>
        <w:t>501.64</w:t>
      </w:r>
      <w:r>
        <w:rPr>
          <w:rFonts w:hint="default" w:ascii="Times New Roman" w:hAnsi="Times New Roman" w:eastAsia="方正仿宋_GBK" w:cs="Times New Roman"/>
          <w:sz w:val="32"/>
          <w:highlight w:val="none"/>
        </w:rPr>
        <w:t>万元，一般公共预算财政拨款支出</w:t>
      </w:r>
      <w:r>
        <w:rPr>
          <w:rFonts w:hint="default" w:ascii="Times New Roman" w:hAnsi="Times New Roman" w:eastAsia="方正仿宋_GBK" w:cs="Times New Roman"/>
          <w:sz w:val="32"/>
          <w:highlight w:val="none"/>
          <w:lang w:val="en-US" w:eastAsia="zh-CN"/>
        </w:rPr>
        <w:t>501.64</w:t>
      </w:r>
      <w:r>
        <w:rPr>
          <w:rFonts w:hint="default" w:ascii="Times New Roman" w:hAnsi="Times New Roman" w:eastAsia="方正仿宋_GBK" w:cs="Times New Roman"/>
          <w:sz w:val="32"/>
          <w:highlight w:val="none"/>
        </w:rPr>
        <w:t>万元，比</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年增加</w:t>
      </w:r>
      <w:r>
        <w:rPr>
          <w:rFonts w:hint="default" w:ascii="Times New Roman" w:hAnsi="Times New Roman" w:eastAsia="方正仿宋_GBK" w:cs="Times New Roman"/>
          <w:sz w:val="32"/>
          <w:highlight w:val="none"/>
          <w:lang w:val="en-US" w:eastAsia="zh-CN"/>
        </w:rPr>
        <w:t>2.83</w:t>
      </w:r>
      <w:r>
        <w:rPr>
          <w:rFonts w:hint="default" w:ascii="Times New Roman" w:hAnsi="Times New Roman" w:eastAsia="方正仿宋_GBK" w:cs="Times New Roman"/>
          <w:sz w:val="32"/>
          <w:highlight w:val="none"/>
        </w:rPr>
        <w:t>万元。其中：基本支出</w:t>
      </w:r>
      <w:r>
        <w:rPr>
          <w:rFonts w:hint="default" w:ascii="Times New Roman" w:hAnsi="Times New Roman" w:eastAsia="方正仿宋_GBK" w:cs="Times New Roman"/>
          <w:sz w:val="32"/>
          <w:highlight w:val="none"/>
          <w:lang w:val="en-US" w:eastAsia="zh-CN"/>
        </w:rPr>
        <w:t>281.52</w:t>
      </w:r>
      <w:r>
        <w:rPr>
          <w:rFonts w:hint="default" w:ascii="Times New Roman" w:hAnsi="Times New Roman" w:eastAsia="方正仿宋_GBK" w:cs="Times New Roman"/>
          <w:sz w:val="32"/>
          <w:highlight w:val="none"/>
        </w:rPr>
        <w:t>万元，比</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年增加</w:t>
      </w:r>
      <w:r>
        <w:rPr>
          <w:rFonts w:hint="default" w:ascii="Times New Roman" w:hAnsi="Times New Roman" w:eastAsia="方正仿宋_GBK" w:cs="Times New Roman"/>
          <w:sz w:val="32"/>
          <w:highlight w:val="none"/>
          <w:lang w:val="en-US" w:eastAsia="zh-CN"/>
        </w:rPr>
        <w:t>7.08</w:t>
      </w:r>
      <w:r>
        <w:rPr>
          <w:rFonts w:hint="default" w:ascii="Times New Roman" w:hAnsi="Times New Roman" w:eastAsia="方正仿宋_GBK" w:cs="Times New Roman"/>
          <w:sz w:val="32"/>
          <w:highlight w:val="none"/>
        </w:rPr>
        <w:t>万元，主要原因是</w:t>
      </w:r>
      <w:r>
        <w:rPr>
          <w:rFonts w:hint="default" w:ascii="Times New Roman" w:hAnsi="Times New Roman" w:eastAsia="方正仿宋_GBK" w:cs="Times New Roman"/>
          <w:sz w:val="32"/>
          <w:highlight w:val="none"/>
          <w:lang w:eastAsia="zh-CN"/>
        </w:rPr>
        <w:t>基本保障</w:t>
      </w:r>
      <w:r>
        <w:rPr>
          <w:rFonts w:hint="default" w:ascii="Times New Roman" w:hAnsi="Times New Roman" w:eastAsia="方正仿宋_GBK" w:cs="Times New Roman"/>
          <w:sz w:val="32"/>
          <w:highlight w:val="none"/>
        </w:rPr>
        <w:t>，主要用于保障在职人员工资福利及社会保险缴费，退休人员补助等，保障部门正常运转的各项商品服务支出；项目支出</w:t>
      </w:r>
      <w:r>
        <w:rPr>
          <w:rFonts w:hint="default" w:ascii="Times New Roman" w:hAnsi="Times New Roman" w:eastAsia="方正仿宋_GBK" w:cs="Times New Roman"/>
          <w:sz w:val="32"/>
          <w:highlight w:val="none"/>
          <w:lang w:val="en-US" w:eastAsia="zh-CN"/>
        </w:rPr>
        <w:t>220.12</w:t>
      </w:r>
      <w:r>
        <w:rPr>
          <w:rFonts w:hint="default" w:ascii="Times New Roman" w:hAnsi="Times New Roman" w:eastAsia="方正仿宋_GBK" w:cs="Times New Roman"/>
          <w:sz w:val="32"/>
          <w:highlight w:val="none"/>
        </w:rPr>
        <w:t>万元，比</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w:t>
      </w:r>
      <w:r>
        <w:rPr>
          <w:rFonts w:hint="default" w:ascii="Times New Roman" w:hAnsi="Times New Roman" w:eastAsia="方正仿宋_GBK" w:cs="Times New Roman"/>
          <w:sz w:val="32"/>
          <w:highlight w:val="none"/>
          <w:lang w:eastAsia="zh-CN"/>
        </w:rPr>
        <w:t>减少</w:t>
      </w:r>
      <w:r>
        <w:rPr>
          <w:rFonts w:hint="default" w:ascii="Times New Roman" w:hAnsi="Times New Roman" w:eastAsia="方正仿宋_GBK" w:cs="Times New Roman"/>
          <w:sz w:val="32"/>
          <w:highlight w:val="none"/>
          <w:lang w:val="en-US" w:eastAsia="zh-CN"/>
        </w:rPr>
        <w:t>4.25</w:t>
      </w:r>
      <w:r>
        <w:rPr>
          <w:rFonts w:hint="default" w:ascii="Times New Roman" w:hAnsi="Times New Roman" w:eastAsia="方正仿宋_GBK" w:cs="Times New Roman"/>
          <w:sz w:val="32"/>
          <w:highlight w:val="none"/>
        </w:rPr>
        <w:t>万元，主要原因是</w:t>
      </w:r>
      <w:r>
        <w:rPr>
          <w:rFonts w:hint="default" w:ascii="Times New Roman" w:hAnsi="Times New Roman" w:eastAsia="方正仿宋_GBK" w:cs="Times New Roman"/>
          <w:sz w:val="32"/>
          <w:highlight w:val="none"/>
          <w:lang w:eastAsia="zh-CN"/>
        </w:rPr>
        <w:t>第五次全国经济普查项目支出减少</w:t>
      </w:r>
      <w:r>
        <w:rPr>
          <w:rFonts w:hint="default" w:ascii="Times New Roman" w:hAnsi="Times New Roman" w:eastAsia="方正仿宋_GBK" w:cs="Times New Roman"/>
          <w:sz w:val="32"/>
          <w:highlight w:val="none"/>
        </w:rPr>
        <w:t>。</w:t>
      </w:r>
    </w:p>
    <w:p w14:paraId="13F42D7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highlight w:val="none"/>
          <w:lang w:eastAsia="zh-CN"/>
        </w:rPr>
      </w:pPr>
      <w:r>
        <w:rPr>
          <w:rFonts w:hint="default" w:ascii="Times New Roman" w:hAnsi="Times New Roman" w:eastAsia="方正仿宋_GBK" w:cs="Times New Roman"/>
          <w:sz w:val="32"/>
          <w:szCs w:val="32"/>
          <w:lang w:val="en-US" w:eastAsia="zh-CN"/>
        </w:rPr>
        <w:t>区统计局（本级）</w:t>
      </w: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年无使用政府性基金预算拨款安排的支出</w:t>
      </w:r>
      <w:r>
        <w:rPr>
          <w:rFonts w:hint="default" w:ascii="Times New Roman" w:hAnsi="Times New Roman" w:eastAsia="方正仿宋_GBK" w:cs="Times New Roman"/>
          <w:sz w:val="32"/>
          <w:highlight w:val="none"/>
          <w:lang w:eastAsia="zh-CN"/>
        </w:rPr>
        <w:t>。</w:t>
      </w:r>
    </w:p>
    <w:p w14:paraId="206D67B1">
      <w:pPr>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default" w:ascii="Times New Roman" w:hAnsi="Times New Roman" w:eastAsia="方正仿宋_GBK" w:cs="Times New Roman"/>
          <w:sz w:val="32"/>
          <w:highlight w:val="none"/>
        </w:rPr>
      </w:pPr>
      <w:r>
        <w:rPr>
          <w:rFonts w:hint="default" w:ascii="Times New Roman" w:hAnsi="Times New Roman" w:eastAsia="方正黑体_GBK" w:cs="Times New Roman"/>
          <w:sz w:val="32"/>
          <w:highlight w:val="none"/>
        </w:rPr>
        <w:t>四、“三公”经费情况说明</w:t>
      </w:r>
    </w:p>
    <w:p w14:paraId="752C7C60">
      <w:pPr>
        <w:keepNext w:val="0"/>
        <w:keepLines w:val="0"/>
        <w:pageBreakBefore w:val="0"/>
        <w:widowControl w:val="0"/>
        <w:kinsoku/>
        <w:wordWrap/>
        <w:overflowPunct/>
        <w:topLinePunct w:val="0"/>
        <w:autoSpaceDE/>
        <w:autoSpaceDN/>
        <w:bidi w:val="0"/>
        <w:adjustRightInd/>
        <w:snapToGrid/>
        <w:spacing w:line="594" w:lineRule="exact"/>
        <w:ind w:firstLine="600"/>
        <w:textAlignment w:val="auto"/>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年“三公”经</w:t>
      </w:r>
      <w:r>
        <w:rPr>
          <w:rFonts w:hint="default" w:ascii="Times New Roman" w:hAnsi="Times New Roman" w:eastAsia="方正仿宋_GBK" w:cs="Times New Roman"/>
          <w:sz w:val="32"/>
          <w:highlight w:val="none"/>
          <w:lang w:eastAsia="zh-CN"/>
        </w:rPr>
        <w:t>费预算</w:t>
      </w:r>
      <w:r>
        <w:rPr>
          <w:rFonts w:hint="default" w:ascii="Times New Roman" w:hAnsi="Times New Roman" w:eastAsia="方正仿宋_GBK" w:cs="Times New Roman"/>
          <w:sz w:val="32"/>
          <w:highlight w:val="none"/>
          <w:lang w:val="en-US" w:eastAsia="zh-CN"/>
        </w:rPr>
        <w:t>4</w:t>
      </w:r>
      <w:r>
        <w:rPr>
          <w:rFonts w:hint="default" w:ascii="Times New Roman" w:hAnsi="Times New Roman" w:eastAsia="方正仿宋_GBK" w:cs="Times New Roman"/>
          <w:sz w:val="32"/>
          <w:highlight w:val="none"/>
          <w:lang w:eastAsia="zh-CN"/>
        </w:rPr>
        <w:t>万元，比</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lang w:eastAsia="zh-CN"/>
        </w:rPr>
        <w:t>年减少</w:t>
      </w:r>
      <w:r>
        <w:rPr>
          <w:rFonts w:hint="eastAsia" w:ascii="Times New Roman" w:hAnsi="Times New Roman" w:eastAsia="方正仿宋_GBK" w:cs="Times New Roman"/>
          <w:sz w:val="32"/>
          <w:highlight w:val="none"/>
          <w:lang w:val="en-US" w:eastAsia="zh-CN"/>
        </w:rPr>
        <w:t>1</w:t>
      </w:r>
      <w:r>
        <w:rPr>
          <w:rFonts w:hint="default" w:ascii="Times New Roman" w:hAnsi="Times New Roman" w:eastAsia="方正仿宋_GBK" w:cs="Times New Roman"/>
          <w:sz w:val="32"/>
          <w:highlight w:val="none"/>
          <w:lang w:eastAsia="zh-CN"/>
        </w:rPr>
        <w:t>万元。其中：因公出国（境）费用</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lang w:eastAsia="zh-CN"/>
        </w:rPr>
        <w:t>万元，</w:t>
      </w:r>
      <w:r>
        <w:rPr>
          <w:rFonts w:hint="default" w:ascii="Times New Roman" w:hAnsi="Times New Roman" w:eastAsia="方正仿宋_GBK" w:cs="Times New Roman"/>
          <w:sz w:val="32"/>
          <w:highlight w:val="none"/>
          <w:lang w:eastAsia="zh-CN"/>
        </w:rPr>
        <w:t>与</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lang w:eastAsia="zh-CN"/>
        </w:rPr>
        <w:t>年</w:t>
      </w:r>
      <w:r>
        <w:rPr>
          <w:rFonts w:hint="default" w:ascii="Times New Roman" w:hAnsi="Times New Roman" w:eastAsia="方正仿宋_GBK" w:cs="Times New Roman"/>
          <w:sz w:val="32"/>
          <w:highlight w:val="none"/>
          <w:lang w:eastAsia="zh-CN"/>
        </w:rPr>
        <w:t>无变化；公务接待费</w:t>
      </w:r>
      <w:r>
        <w:rPr>
          <w:rFonts w:hint="default" w:ascii="Times New Roman" w:hAnsi="Times New Roman" w:eastAsia="方正仿宋_GBK" w:cs="Times New Roman"/>
          <w:sz w:val="32"/>
          <w:highlight w:val="none"/>
          <w:lang w:val="en-US" w:eastAsia="zh-CN"/>
        </w:rPr>
        <w:t>1</w:t>
      </w:r>
      <w:r>
        <w:rPr>
          <w:rFonts w:hint="default" w:ascii="Times New Roman" w:hAnsi="Times New Roman" w:eastAsia="方正仿宋_GBK" w:cs="Times New Roman"/>
          <w:sz w:val="32"/>
          <w:highlight w:val="none"/>
          <w:lang w:eastAsia="zh-CN"/>
        </w:rPr>
        <w:t>万元，比</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lang w:eastAsia="zh-CN"/>
        </w:rPr>
        <w:t>年减少</w:t>
      </w:r>
      <w:r>
        <w:rPr>
          <w:rFonts w:hint="eastAsia" w:ascii="Times New Roman" w:hAnsi="Times New Roman" w:eastAsia="方正仿宋_GBK" w:cs="Times New Roman"/>
          <w:sz w:val="32"/>
          <w:highlight w:val="none"/>
          <w:lang w:val="en-US" w:eastAsia="zh-CN"/>
        </w:rPr>
        <w:t>1</w:t>
      </w:r>
      <w:r>
        <w:rPr>
          <w:rFonts w:hint="default" w:ascii="Times New Roman" w:hAnsi="Times New Roman" w:eastAsia="方正仿宋_GBK" w:cs="Times New Roman"/>
          <w:sz w:val="32"/>
          <w:highlight w:val="none"/>
          <w:lang w:eastAsia="zh-CN"/>
        </w:rPr>
        <w:t>万元，主要原因是</w:t>
      </w:r>
      <w:r>
        <w:rPr>
          <w:rFonts w:hint="default" w:ascii="Times New Roman" w:hAnsi="Times New Roman" w:eastAsia="方正仿宋_GBK" w:cs="Times New Roman"/>
          <w:sz w:val="32"/>
          <w:highlight w:val="none"/>
          <w:lang w:eastAsia="zh-CN"/>
        </w:rPr>
        <w:t>厉行节约；公务用车运行维护费</w:t>
      </w:r>
      <w:r>
        <w:rPr>
          <w:rFonts w:hint="default" w:ascii="Times New Roman" w:hAnsi="Times New Roman" w:eastAsia="方正仿宋_GBK" w:cs="Times New Roman"/>
          <w:sz w:val="32"/>
          <w:highlight w:val="none"/>
          <w:lang w:val="en-US" w:eastAsia="zh-CN"/>
        </w:rPr>
        <w:t>3</w:t>
      </w:r>
      <w:r>
        <w:rPr>
          <w:rFonts w:hint="default" w:ascii="Times New Roman" w:hAnsi="Times New Roman" w:eastAsia="方正仿宋_GBK" w:cs="Times New Roman"/>
          <w:sz w:val="32"/>
          <w:highlight w:val="none"/>
          <w:lang w:eastAsia="zh-CN"/>
        </w:rPr>
        <w:t>万元，</w:t>
      </w:r>
      <w:r>
        <w:rPr>
          <w:rFonts w:hint="default" w:ascii="Times New Roman" w:hAnsi="Times New Roman" w:eastAsia="方正仿宋_GBK" w:cs="Times New Roman"/>
          <w:sz w:val="32"/>
          <w:highlight w:val="none"/>
          <w:lang w:eastAsia="zh-CN"/>
        </w:rPr>
        <w:t>与</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lang w:eastAsia="zh-CN"/>
        </w:rPr>
        <w:t>年</w:t>
      </w:r>
      <w:r>
        <w:rPr>
          <w:rFonts w:hint="default" w:ascii="Times New Roman" w:hAnsi="Times New Roman" w:eastAsia="方正仿宋_GBK" w:cs="Times New Roman"/>
          <w:sz w:val="32"/>
          <w:highlight w:val="none"/>
          <w:lang w:eastAsia="zh-CN"/>
        </w:rPr>
        <w:t>无变化</w:t>
      </w:r>
      <w:r>
        <w:rPr>
          <w:rFonts w:hint="default" w:ascii="Times New Roman" w:hAnsi="Times New Roman" w:eastAsia="方正仿宋_GBK" w:cs="Times New Roman"/>
          <w:sz w:val="32"/>
          <w:highlight w:val="none"/>
        </w:rPr>
        <w:t>；公务用车购置费</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与</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w:t>
      </w:r>
      <w:r>
        <w:rPr>
          <w:rFonts w:hint="default" w:ascii="Times New Roman" w:hAnsi="Times New Roman" w:eastAsia="方正仿宋_GBK" w:cs="Times New Roman"/>
          <w:sz w:val="32"/>
          <w:highlight w:val="none"/>
          <w:lang w:eastAsia="zh-CN"/>
        </w:rPr>
        <w:t>无变化</w:t>
      </w:r>
      <w:r>
        <w:rPr>
          <w:rFonts w:hint="default" w:ascii="Times New Roman" w:hAnsi="Times New Roman" w:eastAsia="方正仿宋_GBK" w:cs="Times New Roman"/>
          <w:sz w:val="32"/>
          <w:highlight w:val="none"/>
        </w:rPr>
        <w:t>。</w:t>
      </w:r>
    </w:p>
    <w:p w14:paraId="3F47C637">
      <w:pPr>
        <w:keepNext w:val="0"/>
        <w:keepLines w:val="0"/>
        <w:pageBreakBefore w:val="0"/>
        <w:widowControl w:val="0"/>
        <w:kinsoku/>
        <w:wordWrap/>
        <w:overflowPunct/>
        <w:topLinePunct w:val="0"/>
        <w:autoSpaceDE/>
        <w:autoSpaceDN/>
        <w:bidi w:val="0"/>
        <w:adjustRightInd/>
        <w:snapToGrid/>
        <w:spacing w:line="594" w:lineRule="exact"/>
        <w:ind w:left="640"/>
        <w:textAlignment w:val="auto"/>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rPr>
        <w:t>五、其他重要事项的情况说明</w:t>
      </w:r>
    </w:p>
    <w:p w14:paraId="3ABE1E83">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仿宋_GBK" w:cs="Times New Roman"/>
          <w:b/>
          <w:bCs/>
          <w:sz w:val="32"/>
          <w:highlight w:val="none"/>
        </w:rPr>
        <w:t>1、机关运行经费。</w:t>
      </w: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年一般公共预算财政拨款运行经费</w:t>
      </w:r>
      <w:r>
        <w:rPr>
          <w:rFonts w:hint="default" w:ascii="Times New Roman" w:hAnsi="Times New Roman" w:eastAsia="方正仿宋_GBK" w:cs="Times New Roman"/>
          <w:sz w:val="32"/>
          <w:highlight w:val="none"/>
          <w:lang w:val="en-US" w:eastAsia="zh-CN"/>
        </w:rPr>
        <w:t>23.2</w:t>
      </w:r>
      <w:r>
        <w:rPr>
          <w:rFonts w:hint="default" w:ascii="Times New Roman" w:hAnsi="Times New Roman" w:eastAsia="方正仿宋_GBK" w:cs="Times New Roman"/>
          <w:sz w:val="32"/>
          <w:highlight w:val="none"/>
        </w:rPr>
        <w:t>万元，比</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年减少</w:t>
      </w:r>
      <w:r>
        <w:rPr>
          <w:rFonts w:hint="default" w:ascii="Times New Roman" w:hAnsi="Times New Roman" w:eastAsia="方正仿宋_GBK" w:cs="Times New Roman"/>
          <w:sz w:val="32"/>
          <w:highlight w:val="none"/>
          <w:lang w:val="en-US" w:eastAsia="zh-CN"/>
        </w:rPr>
        <w:t>0.02</w:t>
      </w:r>
      <w:r>
        <w:rPr>
          <w:rFonts w:hint="default" w:ascii="Times New Roman" w:hAnsi="Times New Roman" w:eastAsia="方正仿宋_GBK" w:cs="Times New Roman"/>
          <w:sz w:val="32"/>
          <w:highlight w:val="none"/>
        </w:rPr>
        <w:t>万元。主要用于办公费、印刷费、邮电费、水电费、物管费、差旅费、会议费、培训费及其他商品和服务支出等。</w:t>
      </w:r>
    </w:p>
    <w:p w14:paraId="2434AA45">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仿宋_GBK" w:cs="Times New Roman"/>
          <w:b/>
          <w:sz w:val="32"/>
          <w:highlight w:val="none"/>
        </w:rPr>
        <w:t>2、政府采购情况。</w:t>
      </w:r>
      <w:r>
        <w:rPr>
          <w:rFonts w:hint="default" w:ascii="Times New Roman" w:hAnsi="Times New Roman" w:eastAsia="方正仿宋_GBK" w:cs="Times New Roman"/>
          <w:sz w:val="32"/>
          <w:highlight w:val="none"/>
        </w:rPr>
        <w:t>政府采购预算总额</w:t>
      </w:r>
      <w:r>
        <w:rPr>
          <w:rFonts w:hint="default" w:ascii="Times New Roman" w:hAnsi="Times New Roman" w:eastAsia="方正仿宋_GBK" w:cs="Times New Roman"/>
          <w:sz w:val="32"/>
          <w:highlight w:val="none"/>
          <w:lang w:val="en-US" w:eastAsia="zh-CN"/>
        </w:rPr>
        <w:t>0.6</w:t>
      </w:r>
      <w:r>
        <w:rPr>
          <w:rFonts w:hint="default" w:ascii="Times New Roman" w:hAnsi="Times New Roman" w:eastAsia="方正仿宋_GBK" w:cs="Times New Roman"/>
          <w:sz w:val="32"/>
          <w:highlight w:val="none"/>
        </w:rPr>
        <w:t>万元：政府采购货物预算</w:t>
      </w:r>
      <w:r>
        <w:rPr>
          <w:rFonts w:hint="default" w:ascii="Times New Roman" w:hAnsi="Times New Roman" w:eastAsia="方正仿宋_GBK" w:cs="Times New Roman"/>
          <w:sz w:val="32"/>
          <w:highlight w:val="none"/>
          <w:lang w:val="en-US" w:eastAsia="zh-CN"/>
        </w:rPr>
        <w:t>0.6</w:t>
      </w:r>
      <w:r>
        <w:rPr>
          <w:rFonts w:hint="default" w:ascii="Times New Roman" w:hAnsi="Times New Roman" w:eastAsia="方正仿宋_GBK" w:cs="Times New Roman"/>
          <w:sz w:val="32"/>
          <w:highlight w:val="none"/>
        </w:rPr>
        <w:t>万元、政府采购工程预算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万元、政府采购服务预算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万元；其中一般公共预算拨款政府采购</w:t>
      </w:r>
      <w:r>
        <w:rPr>
          <w:rFonts w:hint="default" w:ascii="Times New Roman" w:hAnsi="Times New Roman" w:eastAsia="方正仿宋_GBK" w:cs="Times New Roman"/>
          <w:sz w:val="32"/>
          <w:highlight w:val="none"/>
          <w:lang w:val="en-US" w:eastAsia="zh-CN"/>
        </w:rPr>
        <w:t>0.6</w:t>
      </w:r>
      <w:r>
        <w:rPr>
          <w:rFonts w:hint="default" w:ascii="Times New Roman" w:hAnsi="Times New Roman" w:eastAsia="方正仿宋_GBK" w:cs="Times New Roman"/>
          <w:sz w:val="32"/>
          <w:highlight w:val="none"/>
        </w:rPr>
        <w:t>万元：政府采购货物预算</w:t>
      </w:r>
      <w:r>
        <w:rPr>
          <w:rFonts w:hint="default" w:ascii="Times New Roman" w:hAnsi="Times New Roman" w:eastAsia="方正仿宋_GBK" w:cs="Times New Roman"/>
          <w:sz w:val="32"/>
          <w:highlight w:val="none"/>
          <w:lang w:val="en-US" w:eastAsia="zh-CN"/>
        </w:rPr>
        <w:t>0.6</w:t>
      </w:r>
      <w:r>
        <w:rPr>
          <w:rFonts w:hint="default" w:ascii="Times New Roman" w:hAnsi="Times New Roman" w:eastAsia="方正仿宋_GBK" w:cs="Times New Roman"/>
          <w:sz w:val="32"/>
          <w:highlight w:val="none"/>
        </w:rPr>
        <w:t>万元、政府采购工程预算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万元、政府采购服务预算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p>
    <w:p w14:paraId="2DEAEBF7">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color w:val="000000"/>
          <w:sz w:val="32"/>
          <w:highlight w:val="none"/>
        </w:rPr>
      </w:pPr>
      <w:r>
        <w:rPr>
          <w:rFonts w:hint="default" w:ascii="Times New Roman" w:hAnsi="Times New Roman" w:eastAsia="方正仿宋_GBK" w:cs="Times New Roman"/>
          <w:b/>
          <w:sz w:val="32"/>
          <w:highlight w:val="none"/>
        </w:rPr>
        <w:t>3、绩效目标设置情况。</w:t>
      </w:r>
      <w:r>
        <w:rPr>
          <w:rFonts w:hint="default" w:ascii="Times New Roman" w:hAnsi="Times New Roman" w:eastAsia="方正仿宋_GBK" w:cs="Times New Roman"/>
          <w:color w:val="000000"/>
          <w:sz w:val="32"/>
          <w:highlight w:val="none"/>
          <w:lang w:val="en-US" w:eastAsia="zh-CN"/>
        </w:rPr>
        <w:t>2025</w:t>
      </w:r>
      <w:r>
        <w:rPr>
          <w:rFonts w:hint="default" w:ascii="Times New Roman" w:hAnsi="Times New Roman" w:eastAsia="方正仿宋_GBK" w:cs="Times New Roman"/>
          <w:color w:val="000000"/>
          <w:sz w:val="32"/>
          <w:highlight w:val="none"/>
        </w:rPr>
        <w:t>年项目支出均实行了绩效目标管理，涉及一般公共预算当年财政拨款</w:t>
      </w:r>
      <w:r>
        <w:rPr>
          <w:rFonts w:hint="default" w:ascii="Times New Roman" w:hAnsi="Times New Roman" w:eastAsia="方正仿宋_GBK" w:cs="Times New Roman"/>
          <w:sz w:val="32"/>
          <w:highlight w:val="none"/>
          <w:lang w:val="en-US" w:eastAsia="zh-CN"/>
        </w:rPr>
        <w:t>220.12</w:t>
      </w:r>
      <w:r>
        <w:rPr>
          <w:rFonts w:hint="default" w:ascii="Times New Roman" w:hAnsi="Times New Roman" w:eastAsia="方正仿宋_GBK" w:cs="Times New Roman"/>
          <w:color w:val="000000"/>
          <w:sz w:val="32"/>
          <w:highlight w:val="none"/>
        </w:rPr>
        <w:t>万元。</w:t>
      </w:r>
    </w:p>
    <w:p w14:paraId="1BB4D94A">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color w:val="000000"/>
          <w:sz w:val="32"/>
          <w:highlight w:val="none"/>
        </w:rPr>
      </w:pPr>
      <w:r>
        <w:rPr>
          <w:rFonts w:hint="default" w:ascii="Times New Roman" w:hAnsi="Times New Roman" w:eastAsia="方正仿宋_GBK" w:cs="Times New Roman"/>
          <w:b/>
          <w:color w:val="000000"/>
          <w:sz w:val="32"/>
          <w:highlight w:val="none"/>
        </w:rPr>
        <w:t>4、国有资产占有使用情况。</w:t>
      </w:r>
      <w:r>
        <w:rPr>
          <w:rFonts w:hint="default" w:ascii="Times New Roman" w:hAnsi="Times New Roman" w:eastAsia="方正仿宋_GBK" w:cs="Times New Roman"/>
          <w:color w:val="000000"/>
          <w:sz w:val="32"/>
          <w:highlight w:val="none"/>
        </w:rPr>
        <w:t>截</w:t>
      </w:r>
      <w:r>
        <w:rPr>
          <w:rFonts w:hint="default" w:ascii="Times New Roman" w:hAnsi="Times New Roman" w:eastAsia="方正仿宋_GBK" w:cs="Times New Roman"/>
          <w:color w:val="000000"/>
          <w:sz w:val="32"/>
          <w:highlight w:val="none"/>
          <w:lang w:eastAsia="zh-CN"/>
        </w:rPr>
        <w:t>至</w:t>
      </w:r>
      <w:r>
        <w:rPr>
          <w:rFonts w:hint="default" w:ascii="Times New Roman" w:hAnsi="Times New Roman" w:eastAsia="方正仿宋_GBK" w:cs="Times New Roman"/>
          <w:color w:val="000000"/>
          <w:sz w:val="32"/>
          <w:highlight w:val="none"/>
          <w:lang w:val="en-US" w:eastAsia="zh-CN"/>
        </w:rPr>
        <w:t>2024</w:t>
      </w:r>
      <w:r>
        <w:rPr>
          <w:rFonts w:hint="default" w:ascii="Times New Roman" w:hAnsi="Times New Roman" w:eastAsia="方正仿宋_GBK" w:cs="Times New Roman"/>
          <w:color w:val="000000"/>
          <w:sz w:val="32"/>
          <w:highlight w:val="none"/>
        </w:rPr>
        <w:t>年12月，所属各预算单位共有车辆</w:t>
      </w:r>
      <w:r>
        <w:rPr>
          <w:rFonts w:hint="default" w:ascii="Times New Roman" w:hAnsi="Times New Roman" w:eastAsia="方正仿宋_GBK" w:cs="Times New Roman"/>
          <w:color w:val="000000"/>
          <w:sz w:val="32"/>
          <w:highlight w:val="none"/>
          <w:lang w:val="en-US" w:eastAsia="zh-CN"/>
        </w:rPr>
        <w:t>1</w:t>
      </w:r>
      <w:r>
        <w:rPr>
          <w:rFonts w:hint="default" w:ascii="Times New Roman" w:hAnsi="Times New Roman" w:eastAsia="方正仿宋_GBK" w:cs="Times New Roman"/>
          <w:color w:val="000000"/>
          <w:sz w:val="32"/>
          <w:highlight w:val="none"/>
        </w:rPr>
        <w:t>辆，其中一般公务用车</w:t>
      </w:r>
      <w:r>
        <w:rPr>
          <w:rFonts w:hint="default" w:ascii="Times New Roman" w:hAnsi="Times New Roman" w:eastAsia="方正仿宋_GBK" w:cs="Times New Roman"/>
          <w:color w:val="000000"/>
          <w:sz w:val="32"/>
          <w:highlight w:val="none"/>
          <w:lang w:val="en-US" w:eastAsia="zh-CN"/>
        </w:rPr>
        <w:t>1</w:t>
      </w:r>
      <w:r>
        <w:rPr>
          <w:rFonts w:hint="default" w:ascii="Times New Roman" w:hAnsi="Times New Roman" w:eastAsia="方正仿宋_GBK" w:cs="Times New Roman"/>
          <w:color w:val="000000"/>
          <w:sz w:val="32"/>
          <w:highlight w:val="none"/>
        </w:rPr>
        <w:t>辆、执勤执法用车</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w:t>
      </w:r>
      <w:r>
        <w:rPr>
          <w:rFonts w:hint="default" w:ascii="Times New Roman" w:hAnsi="Times New Roman" w:eastAsia="方正仿宋_GBK" w:cs="Times New Roman"/>
          <w:color w:val="000000"/>
          <w:sz w:val="32"/>
          <w:highlight w:val="none"/>
          <w:lang w:val="en-US" w:eastAsia="zh-CN"/>
        </w:rPr>
        <w:t>2025</w:t>
      </w:r>
      <w:r>
        <w:rPr>
          <w:rFonts w:hint="default" w:ascii="Times New Roman" w:hAnsi="Times New Roman" w:eastAsia="方正仿宋_GBK" w:cs="Times New Roman"/>
          <w:color w:val="000000"/>
          <w:sz w:val="32"/>
          <w:highlight w:val="none"/>
        </w:rPr>
        <w:t>年一般公共预算安排购置车辆</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辆，其中一般公务用车</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辆、执勤执法用车</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w:t>
      </w:r>
    </w:p>
    <w:p w14:paraId="6AB80EC9">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highlight w:val="none"/>
        </w:rPr>
        <w:t>六、专业性名词解释</w:t>
      </w:r>
    </w:p>
    <w:p w14:paraId="59C38786">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（一）财政拨款收入：</w:t>
      </w:r>
      <w:r>
        <w:rPr>
          <w:rFonts w:hint="default" w:ascii="Times New Roman" w:hAnsi="Times New Roman" w:eastAsia="方正仿宋_GBK" w:cs="Times New Roman"/>
          <w:sz w:val="32"/>
          <w:szCs w:val="32"/>
          <w:highlight w:val="none"/>
        </w:rPr>
        <w:t>指本年度从本级财政部门取得的财政拨款，包括一般公共预算财政拨款和政府性基金预算财政拨款。</w:t>
      </w:r>
    </w:p>
    <w:p w14:paraId="6B15C72D">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w:t>
      </w:r>
      <w:r>
        <w:rPr>
          <w:rFonts w:hint="default" w:ascii="Times New Roman" w:hAnsi="Times New Roman" w:eastAsia="方正楷体_GBK" w:cs="Times New Roman"/>
          <w:sz w:val="32"/>
          <w:szCs w:val="32"/>
          <w:highlight w:val="none"/>
          <w:lang w:eastAsia="zh-CN"/>
        </w:rPr>
        <w:t>二</w:t>
      </w:r>
      <w:r>
        <w:rPr>
          <w:rFonts w:hint="default" w:ascii="Times New Roman" w:hAnsi="Times New Roman" w:eastAsia="方正楷体_GBK" w:cs="Times New Roman"/>
          <w:sz w:val="32"/>
          <w:szCs w:val="32"/>
          <w:highlight w:val="none"/>
        </w:rPr>
        <w:t>）基本支出：</w:t>
      </w:r>
      <w:r>
        <w:rPr>
          <w:rFonts w:hint="default" w:ascii="Times New Roman" w:hAnsi="Times New Roman" w:eastAsia="方正仿宋_GBK" w:cs="Times New Roman"/>
          <w:sz w:val="32"/>
          <w:szCs w:val="32"/>
          <w:highlight w:val="none"/>
        </w:rPr>
        <w:t>指为保障机构正常运转、完成日常工作任务而发生的人员经费和公用经费。</w:t>
      </w:r>
    </w:p>
    <w:p w14:paraId="20837693">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w:t>
      </w:r>
      <w:r>
        <w:rPr>
          <w:rFonts w:hint="default" w:ascii="Times New Roman" w:hAnsi="Times New Roman" w:eastAsia="方正楷体_GBK" w:cs="Times New Roman"/>
          <w:sz w:val="32"/>
          <w:szCs w:val="32"/>
          <w:highlight w:val="none"/>
          <w:lang w:eastAsia="zh-CN"/>
        </w:rPr>
        <w:t>三</w:t>
      </w:r>
      <w:r>
        <w:rPr>
          <w:rFonts w:hint="default" w:ascii="Times New Roman" w:hAnsi="Times New Roman" w:eastAsia="方正楷体_GBK" w:cs="Times New Roman"/>
          <w:sz w:val="32"/>
          <w:szCs w:val="32"/>
          <w:highlight w:val="none"/>
        </w:rPr>
        <w:t>）项目支出：</w:t>
      </w:r>
      <w:r>
        <w:rPr>
          <w:rFonts w:hint="default" w:ascii="Times New Roman" w:hAnsi="Times New Roman" w:eastAsia="方正仿宋_GBK" w:cs="Times New Roman"/>
          <w:sz w:val="32"/>
          <w:szCs w:val="32"/>
          <w:highlight w:val="none"/>
        </w:rPr>
        <w:t>指在基本支出之外为完成特定行政任务和事业发展目标所发生的支出。</w:t>
      </w:r>
    </w:p>
    <w:p w14:paraId="7D3FE7A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highlight w:val="none"/>
        </w:rPr>
        <w:t>（</w:t>
      </w:r>
      <w:r>
        <w:rPr>
          <w:rFonts w:hint="default" w:ascii="Times New Roman" w:hAnsi="Times New Roman" w:eastAsia="方正楷体_GBK" w:cs="Times New Roman"/>
          <w:sz w:val="32"/>
          <w:szCs w:val="32"/>
          <w:highlight w:val="none"/>
          <w:lang w:eastAsia="zh-CN"/>
        </w:rPr>
        <w:t>四</w:t>
      </w:r>
      <w:r>
        <w:rPr>
          <w:rFonts w:hint="default" w:ascii="Times New Roman" w:hAnsi="Times New Roman" w:eastAsia="方正楷体_GBK" w:cs="Times New Roman"/>
          <w:sz w:val="32"/>
          <w:szCs w:val="32"/>
          <w:highlight w:val="none"/>
        </w:rPr>
        <w:t>）“三公”经费：</w:t>
      </w:r>
      <w:r>
        <w:rPr>
          <w:rFonts w:hint="default" w:ascii="Times New Roman" w:hAnsi="Times New Roman" w:eastAsia="方正仿宋_GBK" w:cs="Times New Roman"/>
          <w:sz w:val="32"/>
          <w:szCs w:val="32"/>
          <w:highlight w:val="none"/>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BB352A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highlight w:val="none"/>
          <w:lang w:eastAsia="zh-CN"/>
        </w:rPr>
        <w:t>（五）工资福利支出（支出经济分类科目类级）：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14:paraId="5CF594B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highlight w:val="none"/>
          <w:lang w:eastAsia="zh-CN"/>
        </w:rPr>
        <w:t>（</w:t>
      </w:r>
      <w:r>
        <w:rPr>
          <w:rFonts w:hint="default" w:ascii="Times New Roman" w:hAnsi="Times New Roman" w:eastAsia="方正楷体_GBK" w:cs="Times New Roman"/>
          <w:sz w:val="32"/>
          <w:szCs w:val="32"/>
          <w:highlight w:val="none"/>
          <w:lang w:val="en-US" w:eastAsia="zh-CN"/>
        </w:rPr>
        <w:t>六</w:t>
      </w:r>
      <w:r>
        <w:rPr>
          <w:rFonts w:hint="default" w:ascii="Times New Roman" w:hAnsi="Times New Roman" w:eastAsia="方正楷体_GBK" w:cs="Times New Roman"/>
          <w:sz w:val="32"/>
          <w:szCs w:val="32"/>
          <w:highlight w:val="none"/>
          <w:lang w:eastAsia="zh-CN"/>
        </w:rPr>
        <w:t>）商品和服务支出（支出经济分类科目类级）：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14:paraId="3F85BC4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lang w:eastAsia="zh-CN"/>
        </w:rPr>
        <w:t>（</w:t>
      </w:r>
      <w:r>
        <w:rPr>
          <w:rFonts w:hint="default" w:ascii="Times New Roman" w:hAnsi="Times New Roman" w:eastAsia="方正楷体_GBK" w:cs="Times New Roman"/>
          <w:sz w:val="32"/>
          <w:szCs w:val="32"/>
          <w:highlight w:val="none"/>
          <w:lang w:val="en-US" w:eastAsia="zh-CN"/>
        </w:rPr>
        <w:t>七</w:t>
      </w:r>
      <w:r>
        <w:rPr>
          <w:rFonts w:hint="default" w:ascii="Times New Roman" w:hAnsi="Times New Roman" w:eastAsia="方正楷体_GBK" w:cs="Times New Roman"/>
          <w:sz w:val="32"/>
          <w:szCs w:val="32"/>
          <w:highlight w:val="none"/>
          <w:lang w:eastAsia="zh-CN"/>
        </w:rPr>
        <w:t>）对个人和家庭的补助（支出经济分类科目类级）：</w:t>
      </w:r>
      <w:r>
        <w:rPr>
          <w:rFonts w:hint="default" w:ascii="Times New Roman" w:hAnsi="Times New Roman" w:eastAsia="方正仿宋_GBK" w:cs="Times New Roman"/>
          <w:sz w:val="32"/>
          <w:szCs w:val="32"/>
        </w:rPr>
        <w:t>反映用于对个人和家庭的补助支出。</w:t>
      </w:r>
    </w:p>
    <w:p w14:paraId="2ADA050E">
      <w:pPr>
        <w:spacing w:line="600" w:lineRule="exact"/>
        <w:rPr>
          <w:rFonts w:hint="eastAsia" w:eastAsia="方正小标宋_GBK"/>
          <w:sz w:val="44"/>
          <w:szCs w:val="44"/>
          <w:highlight w:val="none"/>
        </w:rPr>
      </w:pPr>
    </w:p>
    <w:p w14:paraId="21E8F1EC">
      <w:pPr>
        <w:spacing w:line="600" w:lineRule="exact"/>
        <w:ind w:firstLine="880" w:firstLineChars="200"/>
        <w:rPr>
          <w:rFonts w:eastAsia="方正小标宋_GBK"/>
          <w:sz w:val="44"/>
          <w:szCs w:val="44"/>
          <w:highlight w:val="none"/>
        </w:rPr>
      </w:pPr>
    </w:p>
    <w:p w14:paraId="21F98424">
      <w:pPr>
        <w:spacing w:line="600" w:lineRule="exact"/>
        <w:ind w:firstLine="880" w:firstLineChars="200"/>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第二部分：</w:t>
      </w:r>
      <w:r>
        <w:rPr>
          <w:rFonts w:hint="default" w:ascii="Times New Roman" w:hAnsi="Times New Roman" w:eastAsia="方正小标宋_GBK" w:cs="Times New Roman"/>
          <w:sz w:val="44"/>
          <w:szCs w:val="44"/>
          <w:highlight w:val="none"/>
          <w:lang w:val="en-US" w:eastAsia="zh-CN"/>
        </w:rPr>
        <w:t>2025</w:t>
      </w:r>
      <w:r>
        <w:rPr>
          <w:rFonts w:hint="default" w:ascii="Times New Roman" w:hAnsi="Times New Roman" w:eastAsia="方正小标宋_GBK" w:cs="Times New Roman"/>
          <w:sz w:val="44"/>
          <w:szCs w:val="44"/>
          <w:highlight w:val="none"/>
        </w:rPr>
        <w:t>年部门预算公开报表</w:t>
      </w:r>
    </w:p>
    <w:p w14:paraId="3B70001A">
      <w:pPr>
        <w:ind w:firstLine="640" w:firstLineChars="200"/>
        <w:rPr>
          <w:rFonts w:hint="default" w:ascii="Times New Roman" w:hAnsi="Times New Roman" w:eastAsia="方正黑体_GBK" w:cs="Times New Roman"/>
          <w:sz w:val="32"/>
          <w:highlight w:val="none"/>
        </w:rPr>
      </w:pPr>
    </w:p>
    <w:p w14:paraId="5F3D1C67">
      <w:pPr>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年部门预算公开报表（详见附表</w:t>
      </w:r>
      <w:r>
        <w:rPr>
          <w:rFonts w:hint="default" w:ascii="Times New Roman" w:hAnsi="Times New Roman" w:eastAsia="方正仿宋_GBK" w:cs="Times New Roman"/>
          <w:sz w:val="32"/>
          <w:highlight w:val="none"/>
          <w:lang w:eastAsia="zh-CN"/>
        </w:rPr>
        <w:t>重庆市开州区统计局（本级）</w:t>
      </w: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年部门预算公开报表）</w:t>
      </w:r>
    </w:p>
    <w:p w14:paraId="4784AB59">
      <w:pPr>
        <w:ind w:firstLine="640" w:firstLineChars="200"/>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highlight w:val="none"/>
        </w:rPr>
        <w:t>部门预算公开联系人：</w:t>
      </w:r>
      <w:r>
        <w:rPr>
          <w:rFonts w:hint="default" w:ascii="Times New Roman" w:hAnsi="Times New Roman" w:eastAsia="方正仿宋_GBK" w:cs="Times New Roman"/>
          <w:b w:val="0"/>
          <w:bCs/>
          <w:sz w:val="32"/>
          <w:highlight w:val="none"/>
          <w:lang w:eastAsia="zh-CN"/>
        </w:rPr>
        <w:t>凌玲</w:t>
      </w:r>
      <w:r>
        <w:rPr>
          <w:rFonts w:hint="eastAsia" w:eastAsia="方正仿宋_GBK" w:cs="Times New Roman"/>
          <w:b w:val="0"/>
          <w:bCs/>
          <w:sz w:val="32"/>
          <w:highlight w:val="none"/>
          <w:lang w:eastAsia="zh-CN"/>
        </w:rPr>
        <w:t>；</w:t>
      </w:r>
      <w:r>
        <w:rPr>
          <w:rFonts w:hint="default" w:ascii="Times New Roman" w:hAnsi="Times New Roman" w:eastAsia="方正仿宋_GBK" w:cs="Times New Roman"/>
          <w:b w:val="0"/>
          <w:bCs/>
          <w:sz w:val="32"/>
          <w:highlight w:val="none"/>
        </w:rPr>
        <w:t>联系方式：023-</w:t>
      </w:r>
      <w:r>
        <w:rPr>
          <w:rFonts w:hint="default" w:ascii="Times New Roman" w:hAnsi="Times New Roman" w:eastAsia="方正仿宋_GBK" w:cs="Times New Roman"/>
          <w:b w:val="0"/>
          <w:bCs/>
          <w:sz w:val="32"/>
          <w:highlight w:val="none"/>
          <w:lang w:val="en-US" w:eastAsia="zh-CN"/>
        </w:rPr>
        <w:t>52255804</w:t>
      </w:r>
    </w:p>
    <w:p w14:paraId="0F12B67A">
      <w:pPr>
        <w:spacing w:line="540" w:lineRule="exact"/>
        <w:jc w:val="center"/>
        <w:rPr>
          <w:rFonts w:hint="default" w:ascii="Times New Roman" w:hAnsi="Times New Roman" w:eastAsia="方正小标宋_GBK" w:cs="Times New Roman"/>
          <w:sz w:val="44"/>
          <w:szCs w:val="44"/>
          <w:highlight w:val="none"/>
        </w:rPr>
      </w:pPr>
    </w:p>
    <w:p w14:paraId="237895E3">
      <w:pPr>
        <w:spacing w:line="540" w:lineRule="exact"/>
        <w:jc w:val="both"/>
        <w:rPr>
          <w:rFonts w:hint="default" w:ascii="Times New Roman" w:hAnsi="Times New Roman" w:eastAsia="方正小标宋_GBK" w:cs="Times New Roman"/>
          <w:sz w:val="44"/>
          <w:szCs w:val="44"/>
          <w:highlight w:val="none"/>
        </w:rPr>
      </w:pPr>
    </w:p>
    <w:p w14:paraId="4B62E0E2">
      <w:pPr>
        <w:spacing w:line="540" w:lineRule="exact"/>
        <w:jc w:val="center"/>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eastAsia="zh-CN"/>
        </w:rPr>
        <w:t>重庆市开州区统计局（本级）</w:t>
      </w:r>
    </w:p>
    <w:p w14:paraId="6633B8BA">
      <w:pPr>
        <w:spacing w:line="540" w:lineRule="exact"/>
        <w:jc w:val="center"/>
        <w:rPr>
          <w:rFonts w:hint="default" w:ascii="Times New Roman" w:hAnsi="Times New Roman" w:eastAsia="方正仿宋_GBK" w:cs="Times New Roman"/>
          <w:color w:val="FF0000"/>
          <w:sz w:val="32"/>
          <w:szCs w:val="32"/>
          <w:highlight w:val="none"/>
        </w:rPr>
      </w:pPr>
      <w:bookmarkStart w:id="0" w:name="_GoBack"/>
      <w:bookmarkEnd w:id="0"/>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color w:val="FF0000"/>
          <w:sz w:val="32"/>
          <w:szCs w:val="32"/>
          <w:highlight w:val="none"/>
        </w:rPr>
        <w:t xml:space="preserve"> </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年3月</w:t>
      </w:r>
      <w:r>
        <w:rPr>
          <w:rFonts w:hint="default" w:ascii="Times New Roman" w:hAnsi="Times New Roman" w:eastAsia="方正仿宋_GBK" w:cs="Times New Roman"/>
          <w:color w:val="auto"/>
          <w:sz w:val="32"/>
          <w:szCs w:val="32"/>
          <w:highlight w:val="none"/>
          <w:lang w:val="en-US" w:eastAsia="zh-CN"/>
        </w:rPr>
        <w:t>28</w:t>
      </w:r>
      <w:r>
        <w:rPr>
          <w:rFonts w:hint="default" w:ascii="Times New Roman" w:hAnsi="Times New Roman" w:eastAsia="方正仿宋_GBK" w:cs="Times New Roman"/>
          <w:color w:val="auto"/>
          <w:sz w:val="32"/>
          <w:szCs w:val="32"/>
          <w:highlight w:val="none"/>
        </w:rPr>
        <w:t>日</w:t>
      </w:r>
    </w:p>
    <w:p w14:paraId="63CE8317">
      <w:pPr>
        <w:pStyle w:val="3"/>
        <w:rPr>
          <w:rFonts w:hint="default" w:ascii="Times New Roman" w:hAnsi="Times New Roman" w:eastAsia="方正仿宋_GBK" w:cs="Times New Roman"/>
          <w:sz w:val="32"/>
          <w:szCs w:val="32"/>
          <w:lang w:val="en-US" w:eastAsia="zh-CN"/>
        </w:rPr>
      </w:pPr>
    </w:p>
    <w:p w14:paraId="67FAAAA7">
      <w:pPr>
        <w:pStyle w:val="4"/>
        <w:ind w:left="0" w:leftChars="0" w:firstLine="0" w:firstLineChars="0"/>
        <w:rPr>
          <w:rFonts w:hint="default" w:ascii="Times New Roman" w:hAnsi="Times New Roman" w:eastAsia="方正仿宋_GBK" w:cs="Times New Roman"/>
          <w:sz w:val="32"/>
          <w:szCs w:val="32"/>
          <w:lang w:val="en-US" w:eastAsia="zh-CN"/>
        </w:rPr>
      </w:pPr>
    </w:p>
    <w:p w14:paraId="7E89EFF1">
      <w:pPr>
        <w:rPr>
          <w:rFonts w:hint="eastAsia" w:ascii="方正仿宋_GBK" w:hAnsi="方正仿宋_GBK" w:eastAsia="方正仿宋_GBK" w:cs="方正仿宋_GBK"/>
          <w:sz w:val="32"/>
          <w:szCs w:val="32"/>
          <w:lang w:val="en-US" w:eastAsia="zh-CN"/>
        </w:rPr>
      </w:pPr>
    </w:p>
    <w:p w14:paraId="3A746AD1">
      <w:pPr>
        <w:rPr>
          <w:rFonts w:hint="eastAsia" w:ascii="方正仿宋_GBK" w:hAnsi="方正仿宋_GBK" w:eastAsia="方正仿宋_GBK" w:cs="方正仿宋_GBK"/>
          <w:sz w:val="32"/>
          <w:szCs w:val="32"/>
          <w:lang w:val="en-US" w:eastAsia="zh-CN"/>
        </w:rPr>
      </w:pPr>
    </w:p>
    <w:p w14:paraId="03B6F26C">
      <w:pPr>
        <w:rPr>
          <w:rFonts w:hint="eastAsia" w:ascii="方正仿宋_GBK" w:hAnsi="方正仿宋_GBK" w:eastAsia="方正仿宋_GBK" w:cs="方正仿宋_GBK"/>
          <w:sz w:val="32"/>
          <w:szCs w:val="32"/>
          <w:lang w:val="en-US" w:eastAsia="zh-CN"/>
        </w:rPr>
      </w:pPr>
    </w:p>
    <w:p w14:paraId="40615836">
      <w:pPr>
        <w:rPr>
          <w:rFonts w:hint="eastAsia" w:ascii="方正仿宋_GBK" w:hAnsi="方正仿宋_GBK" w:eastAsia="方正仿宋_GBK" w:cs="方正仿宋_GBK"/>
          <w:sz w:val="32"/>
          <w:szCs w:val="32"/>
          <w:lang w:val="en-US" w:eastAsia="zh-CN"/>
        </w:rPr>
      </w:pPr>
    </w:p>
    <w:p w14:paraId="098DD00C">
      <w:pPr>
        <w:rPr>
          <w:rFonts w:hint="eastAsia" w:ascii="方正仿宋_GBK" w:hAnsi="方正仿宋_GBK" w:eastAsia="方正仿宋_GBK" w:cs="方正仿宋_GBK"/>
          <w:sz w:val="32"/>
          <w:szCs w:val="32"/>
          <w:lang w:val="en-US" w:eastAsia="zh-CN"/>
        </w:rPr>
      </w:pPr>
    </w:p>
    <w:p w14:paraId="16B22C00">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jc w:val="both"/>
        <w:textAlignment w:val="auto"/>
        <w:outlineLvl w:val="9"/>
        <w:rPr>
          <w:rFonts w:hint="eastAsia" w:ascii="Times New Roman" w:hAnsi="Times New Roman" w:eastAsia="宋体" w:cs="Times New Roman"/>
          <w:kern w:val="2"/>
          <w:sz w:val="21"/>
          <w:szCs w:val="24"/>
          <w:lang w:val="en-US" w:eastAsia="zh-CN" w:bidi="ar-SA"/>
        </w:rPr>
      </w:pPr>
    </w:p>
    <w:p w14:paraId="641D4AC9">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jc w:val="both"/>
        <w:textAlignment w:val="auto"/>
        <w:outlineLvl w:val="9"/>
        <w:rPr>
          <w:rFonts w:hint="eastAsia" w:ascii="Times New Roman" w:hAnsi="Times New Roman" w:eastAsia="宋体" w:cs="Times New Roman"/>
          <w:kern w:val="2"/>
          <w:sz w:val="21"/>
          <w:szCs w:val="24"/>
          <w:lang w:val="en-US" w:eastAsia="zh-CN" w:bidi="ar-SA"/>
        </w:rPr>
      </w:pPr>
    </w:p>
    <w:p w14:paraId="09B3BE1B">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jc w:val="both"/>
        <w:textAlignment w:val="auto"/>
        <w:outlineLvl w:val="9"/>
        <w:rPr>
          <w:rFonts w:hint="eastAsia" w:ascii="Times New Roman" w:hAnsi="Times New Roman" w:eastAsia="宋体" w:cs="Times New Roman"/>
          <w:kern w:val="2"/>
          <w:sz w:val="21"/>
          <w:szCs w:val="24"/>
          <w:lang w:val="en-US" w:eastAsia="zh-CN" w:bidi="ar-SA"/>
        </w:rPr>
      </w:pPr>
    </w:p>
    <w:p w14:paraId="0B414453">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jc w:val="both"/>
        <w:textAlignment w:val="auto"/>
        <w:outlineLvl w:val="9"/>
        <w:rPr>
          <w:rFonts w:hint="eastAsia" w:ascii="Times New Roman" w:hAnsi="Times New Roman" w:eastAsia="宋体" w:cs="Times New Roman"/>
          <w:kern w:val="2"/>
          <w:sz w:val="21"/>
          <w:szCs w:val="24"/>
          <w:lang w:val="en-US" w:eastAsia="zh-CN" w:bidi="ar-SA"/>
        </w:rPr>
      </w:pPr>
    </w:p>
    <w:p w14:paraId="6FE597DC">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jc w:val="both"/>
        <w:textAlignment w:val="auto"/>
        <w:outlineLvl w:val="9"/>
        <w:rPr>
          <w:rFonts w:hint="eastAsia" w:ascii="Times New Roman" w:hAnsi="Times New Roman" w:eastAsia="宋体" w:cs="Times New Roman"/>
          <w:kern w:val="2"/>
          <w:sz w:val="21"/>
          <w:szCs w:val="24"/>
          <w:lang w:val="en-US" w:eastAsia="zh-CN" w:bidi="ar-SA"/>
        </w:rPr>
      </w:pPr>
    </w:p>
    <w:p w14:paraId="7BBD512B">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jc w:val="both"/>
        <w:textAlignment w:val="auto"/>
        <w:outlineLvl w:val="9"/>
        <w:rPr>
          <w:rFonts w:hint="eastAsia" w:ascii="Times New Roman" w:hAnsi="Times New Roman" w:eastAsia="宋体" w:cs="Times New Roman"/>
          <w:kern w:val="2"/>
          <w:sz w:val="21"/>
          <w:szCs w:val="24"/>
          <w:lang w:val="en-US" w:eastAsia="zh-CN" w:bidi="ar-SA"/>
        </w:rPr>
      </w:pPr>
    </w:p>
    <w:p w14:paraId="2EF19CE0">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jc w:val="both"/>
        <w:textAlignment w:val="auto"/>
        <w:outlineLvl w:val="9"/>
        <w:rPr>
          <w:rFonts w:hint="eastAsia" w:ascii="Times New Roman" w:hAnsi="Times New Roman" w:eastAsia="宋体" w:cs="Times New Roman"/>
          <w:kern w:val="2"/>
          <w:sz w:val="21"/>
          <w:szCs w:val="24"/>
          <w:lang w:val="en-US" w:eastAsia="zh-CN" w:bidi="ar-SA"/>
        </w:rPr>
      </w:pPr>
    </w:p>
    <w:p w14:paraId="6268CC72">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jc w:val="both"/>
        <w:textAlignment w:val="auto"/>
        <w:outlineLvl w:val="9"/>
        <w:rPr>
          <w:rFonts w:hint="eastAsia" w:ascii="Times New Roman" w:hAnsi="Times New Roman" w:eastAsia="宋体" w:cs="Times New Roman"/>
          <w:kern w:val="2"/>
          <w:sz w:val="21"/>
          <w:szCs w:val="24"/>
          <w:lang w:val="en-US" w:eastAsia="zh-CN" w:bidi="ar-SA"/>
        </w:rPr>
      </w:pPr>
    </w:p>
    <w:p w14:paraId="75601421">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jc w:val="both"/>
        <w:textAlignment w:val="auto"/>
        <w:outlineLvl w:val="9"/>
        <w:rPr>
          <w:rFonts w:hint="eastAsia" w:ascii="Times New Roman" w:hAnsi="Times New Roman" w:eastAsia="宋体" w:cs="Times New Roman"/>
          <w:kern w:val="2"/>
          <w:sz w:val="21"/>
          <w:szCs w:val="24"/>
          <w:lang w:val="en-US" w:eastAsia="zh-CN" w:bidi="ar-SA"/>
        </w:rPr>
      </w:pPr>
    </w:p>
    <w:p w14:paraId="70A6DE21">
      <w:pPr>
        <w:pStyle w:val="4"/>
        <w:ind w:left="0" w:leftChars="0" w:firstLine="0" w:firstLineChars="0"/>
        <w:rPr>
          <w:rFonts w:hint="eastAsia"/>
          <w:lang w:val="en-US" w:eastAsia="zh-CN"/>
        </w:rPr>
      </w:pPr>
    </w:p>
    <w:p w14:paraId="31E3D7AE">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firstLineChars="0"/>
        <w:jc w:val="both"/>
        <w:textAlignment w:val="auto"/>
        <w:outlineLvl w:val="9"/>
        <w:rPr>
          <w:rFonts w:hint="eastAsia" w:ascii="Times New Roman" w:hAnsi="Times New Roman" w:eastAsia="宋体" w:cs="Times New Roman"/>
          <w:kern w:val="2"/>
          <w:sz w:val="21"/>
          <w:szCs w:val="24"/>
          <w:lang w:val="en-US" w:eastAsia="zh-CN" w:bidi="ar-SA"/>
        </w:rPr>
      </w:pPr>
      <w:r>
        <w:rPr>
          <w:rFonts w:hint="default" w:ascii="Times New Roman" w:hAnsi="Times New Roman" w:eastAsia="方正仿宋_GBK" w:cs="Times New Roman"/>
          <w:color w:val="auto"/>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17780</wp:posOffset>
                </wp:positionV>
                <wp:extent cx="5692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92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1.4pt;height:0.05pt;width:448.25pt;z-index:251660288;mso-width-relative:page;mso-height-relative:page;" filled="f" stroked="t" coordsize="21600,21600" o:gfxdata="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ps4ENIAAAAFAQAADwAAAAAAAAABACAAAAAiAAAAZHJzL2Rvd25yZXYueG1sUEsBAhQAFAAA&#10;AAgAh07iQI5Q/Hb1AQAA5g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375920</wp:posOffset>
                </wp:positionV>
                <wp:extent cx="569150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9150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29.6pt;height:0.05pt;width:448.15pt;z-index:251661312;mso-width-relative:page;mso-height-relative:page;" filled="f" stroked="t" coordsize="21600,21600" o:gfxdata="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UQAL1AAAAAcBAAAPAAAAAAAAAAEAIAAAACIAAABkcnMvZG93bnJldi54bWxQSwECFAAU&#10;AAAACACHTuJAGvSsdvUBAADm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kern w:val="0"/>
          <w:sz w:val="28"/>
          <w:szCs w:val="28"/>
          <w:lang w:eastAsia="zh-CN"/>
        </w:rPr>
        <w:t>重庆市开州区</w:t>
      </w:r>
      <w:r>
        <w:rPr>
          <w:rFonts w:hint="default" w:ascii="Times New Roman" w:hAnsi="Times New Roman" w:eastAsia="方正仿宋_GBK" w:cs="Times New Roman"/>
          <w:color w:val="auto"/>
          <w:kern w:val="0"/>
          <w:sz w:val="28"/>
          <w:szCs w:val="28"/>
        </w:rPr>
        <w:t>统计局</w:t>
      </w:r>
      <w:r>
        <w:rPr>
          <w:rFonts w:hint="eastAsia" w:ascii="Times New Roman" w:hAnsi="Times New Roman" w:eastAsia="方正仿宋_GBK" w:cs="Times New Roman"/>
          <w:color w:val="auto"/>
          <w:kern w:val="0"/>
          <w:sz w:val="28"/>
          <w:szCs w:val="28"/>
          <w:lang w:eastAsia="zh-CN"/>
        </w:rPr>
        <w:t>党政</w:t>
      </w:r>
      <w:r>
        <w:rPr>
          <w:rFonts w:hint="default" w:ascii="Times New Roman" w:hAnsi="Times New Roman" w:eastAsia="方正仿宋_GBK" w:cs="Times New Roman"/>
          <w:color w:val="auto"/>
          <w:kern w:val="0"/>
          <w:sz w:val="28"/>
          <w:szCs w:val="28"/>
        </w:rPr>
        <w:t xml:space="preserve">办公室          </w:t>
      </w:r>
      <w:r>
        <w:rPr>
          <w:rFonts w:hint="default" w:ascii="Times New Roman" w:hAnsi="Times New Roman" w:eastAsia="方正仿宋_GBK" w:cs="Times New Roman"/>
          <w:color w:val="auto"/>
          <w:kern w:val="0"/>
          <w:sz w:val="28"/>
          <w:szCs w:val="28"/>
          <w:lang w:val="en-US" w:eastAsia="zh-CN"/>
        </w:rPr>
        <w:t xml:space="preserve">      </w:t>
      </w:r>
      <w:r>
        <w:rPr>
          <w:rFonts w:hint="default" w:ascii="Times New Roman" w:hAnsi="Times New Roman" w:eastAsia="方正仿宋_GBK" w:cs="Times New Roman"/>
          <w:color w:val="auto"/>
          <w:kern w:val="0"/>
          <w:sz w:val="28"/>
          <w:szCs w:val="28"/>
        </w:rPr>
        <w:t>20</w:t>
      </w:r>
      <w:r>
        <w:rPr>
          <w:rFonts w:hint="default" w:ascii="Times New Roman" w:hAnsi="Times New Roman" w:eastAsia="方正仿宋_GBK" w:cs="Times New Roman"/>
          <w:color w:val="auto"/>
          <w:kern w:val="0"/>
          <w:sz w:val="28"/>
          <w:szCs w:val="28"/>
          <w:lang w:val="en-US" w:eastAsia="zh-CN"/>
        </w:rPr>
        <w:t>2</w:t>
      </w:r>
      <w:r>
        <w:rPr>
          <w:rFonts w:hint="eastAsia" w:eastAsia="方正仿宋_GBK" w:cs="Times New Roman"/>
          <w:color w:val="auto"/>
          <w:kern w:val="0"/>
          <w:sz w:val="28"/>
          <w:szCs w:val="28"/>
          <w:lang w:val="en-US" w:eastAsia="zh-CN"/>
        </w:rPr>
        <w:t>5</w:t>
      </w:r>
      <w:r>
        <w:rPr>
          <w:rFonts w:hint="default" w:ascii="Times New Roman" w:hAnsi="Times New Roman" w:eastAsia="方正仿宋_GBK" w:cs="Times New Roman"/>
          <w:color w:val="auto"/>
          <w:kern w:val="0"/>
          <w:sz w:val="28"/>
          <w:szCs w:val="28"/>
        </w:rPr>
        <w:t>年</w:t>
      </w:r>
      <w:r>
        <w:rPr>
          <w:rFonts w:hint="eastAsia" w:eastAsia="方正仿宋_GBK" w:cs="Times New Roman"/>
          <w:color w:val="auto"/>
          <w:kern w:val="0"/>
          <w:sz w:val="28"/>
          <w:szCs w:val="28"/>
          <w:lang w:val="en-US" w:eastAsia="zh-CN"/>
        </w:rPr>
        <w:t>3</w:t>
      </w:r>
      <w:r>
        <w:rPr>
          <w:rFonts w:hint="default" w:ascii="Times New Roman" w:hAnsi="Times New Roman" w:eastAsia="方正仿宋_GBK" w:cs="Times New Roman"/>
          <w:color w:val="auto"/>
          <w:kern w:val="0"/>
          <w:sz w:val="28"/>
          <w:szCs w:val="28"/>
        </w:rPr>
        <w:t>月</w:t>
      </w:r>
      <w:r>
        <w:rPr>
          <w:rFonts w:hint="eastAsia" w:eastAsia="方正仿宋_GBK" w:cs="Times New Roman"/>
          <w:color w:val="auto"/>
          <w:kern w:val="0"/>
          <w:sz w:val="28"/>
          <w:szCs w:val="28"/>
          <w:lang w:val="en-US" w:eastAsia="zh-CN"/>
        </w:rPr>
        <w:t>28</w:t>
      </w:r>
      <w:r>
        <w:rPr>
          <w:rFonts w:hint="default" w:ascii="Times New Roman" w:hAnsi="Times New Roman" w:eastAsia="方正仿宋_GBK" w:cs="Times New Roman"/>
          <w:color w:val="auto"/>
          <w:kern w:val="0"/>
          <w:sz w:val="28"/>
          <w:szCs w:val="28"/>
        </w:rPr>
        <w:t>日印</w:t>
      </w:r>
      <w:r>
        <w:rPr>
          <w:rFonts w:hint="default" w:ascii="Times New Roman" w:hAnsi="Times New Roman" w:eastAsia="方正仿宋_GBK" w:cs="Times New Roman"/>
          <w:color w:val="auto"/>
          <w:kern w:val="0"/>
          <w:sz w:val="28"/>
          <w:szCs w:val="28"/>
          <w:lang w:eastAsia="zh-CN"/>
        </w:rPr>
        <w:t>发</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5EBF2">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199C1">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3199C1">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MWVkMDE5ZWY3NzU5OWEwNTA0Nzk1MzJjZWRlM2MifQ=="/>
    <w:docVar w:name="KSO_WPS_MARK_KEY" w:val="edb91c80-80dd-4e7b-8a5a-087a7a5e22c3"/>
  </w:docVars>
  <w:rsids>
    <w:rsidRoot w:val="2E224131"/>
    <w:rsid w:val="02987B74"/>
    <w:rsid w:val="0B521C3E"/>
    <w:rsid w:val="0EB2360D"/>
    <w:rsid w:val="15F7512C"/>
    <w:rsid w:val="1ACC4B81"/>
    <w:rsid w:val="1C7B348C"/>
    <w:rsid w:val="1CDC0223"/>
    <w:rsid w:val="1E0C1876"/>
    <w:rsid w:val="22F653E9"/>
    <w:rsid w:val="24D02CA6"/>
    <w:rsid w:val="26B231D4"/>
    <w:rsid w:val="278F1B32"/>
    <w:rsid w:val="2A0D5CC0"/>
    <w:rsid w:val="2AAF63FE"/>
    <w:rsid w:val="2AD215C5"/>
    <w:rsid w:val="2E224131"/>
    <w:rsid w:val="377C2F09"/>
    <w:rsid w:val="37A21138"/>
    <w:rsid w:val="389A0BB8"/>
    <w:rsid w:val="3D723AC8"/>
    <w:rsid w:val="3E9F0FD0"/>
    <w:rsid w:val="45117A3D"/>
    <w:rsid w:val="49B11F93"/>
    <w:rsid w:val="4C7437D0"/>
    <w:rsid w:val="4CD46D55"/>
    <w:rsid w:val="4D2677B9"/>
    <w:rsid w:val="4FAE3B00"/>
    <w:rsid w:val="4FC7696F"/>
    <w:rsid w:val="4FE5334A"/>
    <w:rsid w:val="52AF385E"/>
    <w:rsid w:val="596D0588"/>
    <w:rsid w:val="5A3D6C55"/>
    <w:rsid w:val="5D77A560"/>
    <w:rsid w:val="5DAC36C3"/>
    <w:rsid w:val="5EA7486C"/>
    <w:rsid w:val="61983A37"/>
    <w:rsid w:val="61B825BC"/>
    <w:rsid w:val="62D00DB2"/>
    <w:rsid w:val="68FC334A"/>
    <w:rsid w:val="69121BB4"/>
    <w:rsid w:val="6A243D9B"/>
    <w:rsid w:val="6AF40641"/>
    <w:rsid w:val="6DF011BD"/>
    <w:rsid w:val="701B050D"/>
    <w:rsid w:val="70BB0738"/>
    <w:rsid w:val="72503D1B"/>
    <w:rsid w:val="74246734"/>
    <w:rsid w:val="7919533D"/>
    <w:rsid w:val="7A2465E9"/>
    <w:rsid w:val="7AA16381"/>
    <w:rsid w:val="7AB931D5"/>
    <w:rsid w:val="7B475098"/>
    <w:rsid w:val="7BD51243"/>
    <w:rsid w:val="7D060228"/>
    <w:rsid w:val="7FA72509"/>
    <w:rsid w:val="7FBD418D"/>
    <w:rsid w:val="CDEE62A1"/>
    <w:rsid w:val="FE9F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styleId="3">
    <w:name w:val="footer"/>
    <w:basedOn w:val="1"/>
    <w:next w:val="4"/>
    <w:qFormat/>
    <w:uiPriority w:val="99"/>
    <w:pPr>
      <w:tabs>
        <w:tab w:val="center" w:pos="4153"/>
        <w:tab w:val="right" w:pos="8306"/>
      </w:tabs>
      <w:snapToGrid w:val="0"/>
      <w:jc w:val="left"/>
    </w:pPr>
    <w:rPr>
      <w:sz w:val="18"/>
      <w:szCs w:val="18"/>
    </w:rPr>
  </w:style>
  <w:style w:type="paragraph" w:customStyle="1" w:styleId="4">
    <w:name w:val="索引 51"/>
    <w:basedOn w:val="1"/>
    <w:next w:val="1"/>
    <w:qFormat/>
    <w:uiPriority w:val="0"/>
    <w:pPr>
      <w:ind w:left="168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出段落"/>
    <w:basedOn w:val="1"/>
    <w:qFormat/>
    <w:uiPriority w:val="34"/>
    <w:pPr>
      <w:ind w:firstLine="420" w:firstLineChars="200"/>
    </w:pPr>
    <w:rPr>
      <w:rFonts w:ascii="Calibri" w:hAnsi="Calibri"/>
      <w:szCs w:val="22"/>
    </w:r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2511</Words>
  <Characters>2730</Characters>
  <Lines>0</Lines>
  <Paragraphs>0</Paragraphs>
  <TotalTime>0</TotalTime>
  <ScaleCrop>false</ScaleCrop>
  <LinksUpToDate>false</LinksUpToDate>
  <CharactersWithSpaces>2822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2024-03-07T00:04:00Z</dcterms:created>
  <dc:creator>凌玲</dc:creator>
  <cp:lastModifiedBy>田双</cp:lastModifiedBy>
  <dcterms:modified xsi:type="dcterms:W3CDTF">2025-03-20T09:01:36Z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EF9B3FD9E66D4BA8BEAAAAFFB942906C_11</vt:lpwstr>
  </property>
  <property fmtid="{D5CDD505-2E9C-101B-9397-08002B2CF9AE}" pid="4" name="KSOTemplateDocerSaveRecord">
    <vt:lpwstr>eyJoZGlkIjoiNGZhOTdkODViNmFlZGNjYjkxZjYwYmQwMjAzOTJhYjIiLCJ1c2VySWQiOiIzNTQ0OTkzMzUifQ==</vt:lpwstr>
  </property>
</Properties>
</file>