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B4C7E">
      <w:pPr>
        <w:spacing w:line="600" w:lineRule="exact"/>
        <w:ind w:firstLine="13640" w:firstLineChars="3100"/>
        <w:jc w:val="center"/>
        <w:rPr>
          <w:rFonts w:hint="default" w:ascii="Times New Roman" w:hAnsi="Times New Roman" w:eastAsia="方正仿宋_GBK" w:cs="Times New Roman"/>
          <w:color w:val="FF0000"/>
          <w:sz w:val="44"/>
          <w:szCs w:val="44"/>
        </w:rPr>
      </w:pPr>
    </w:p>
    <w:p w14:paraId="12ABC7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color w:val="FF0000"/>
          <w:sz w:val="44"/>
          <w:szCs w:val="44"/>
        </w:rPr>
      </w:pPr>
    </w:p>
    <w:p w14:paraId="35A8F358">
      <w:pPr>
        <w:spacing w:line="400" w:lineRule="exact"/>
        <w:jc w:val="center"/>
        <w:rPr>
          <w:rFonts w:hint="default" w:ascii="Times New Roman" w:hAnsi="Times New Roman" w:eastAsia="方正仿宋_GBK" w:cs="Times New Roman"/>
          <w:color w:val="FF0000"/>
          <w:sz w:val="44"/>
          <w:szCs w:val="44"/>
        </w:rPr>
      </w:pPr>
    </w:p>
    <w:p w14:paraId="5D552163">
      <w:pPr>
        <w:spacing w:line="700" w:lineRule="exact"/>
        <w:jc w:val="center"/>
        <w:rPr>
          <w:rFonts w:hint="default" w:ascii="Times New Roman" w:hAnsi="Times New Roman" w:eastAsia="方正仿宋_GBK" w:cs="Times New Roman"/>
          <w:color w:val="FF0000"/>
          <w:sz w:val="44"/>
          <w:szCs w:val="44"/>
        </w:rPr>
      </w:pPr>
    </w:p>
    <w:p w14:paraId="7B7EAFE5">
      <w:pPr>
        <w:spacing w:line="1400" w:lineRule="exact"/>
        <w:jc w:val="center"/>
        <w:rPr>
          <w:rFonts w:hint="default" w:ascii="Times New Roman" w:hAnsi="Times New Roman" w:eastAsia="方正小标宋_GBK" w:cs="Times New Roman"/>
          <w:b w:val="0"/>
          <w:bCs/>
          <w:color w:val="FF0000"/>
          <w:w w:val="52"/>
          <w:sz w:val="110"/>
          <w:szCs w:val="110"/>
        </w:rPr>
      </w:pPr>
      <w:r>
        <w:rPr>
          <w:rFonts w:hint="default" w:ascii="Times New Roman" w:hAnsi="Times New Roman" w:eastAsia="方正小标宋_GBK" w:cs="Times New Roman"/>
          <w:b w:val="0"/>
          <w:bCs/>
          <w:color w:val="FF0000"/>
          <w:w w:val="52"/>
          <w:sz w:val="110"/>
          <w:szCs w:val="110"/>
        </w:rPr>
        <w:t>重庆市开州区农业农村委员会文件</w:t>
      </w:r>
    </w:p>
    <w:p w14:paraId="6ECDA89B">
      <w:pPr>
        <w:keepNext w:val="0"/>
        <w:keepLines w:val="0"/>
        <w:pageBreakBefore w:val="0"/>
        <w:widowControl w:val="0"/>
        <w:kinsoku/>
        <w:wordWrap/>
        <w:overflowPunct/>
        <w:topLinePunct w:val="0"/>
        <w:autoSpaceDE w:val="0"/>
        <w:autoSpaceDN w:val="0"/>
        <w:bidi w:val="0"/>
        <w:adjustRightInd w:val="0"/>
        <w:snapToGrid/>
        <w:spacing w:after="200"/>
        <w:jc w:val="center"/>
        <w:textAlignment w:val="auto"/>
        <w:rPr>
          <w:rFonts w:hint="default" w:ascii="Times New Roman" w:hAnsi="Times New Roman" w:eastAsia="仿宋_GB2312" w:cs="Times New Roman"/>
          <w:b w:val="0"/>
          <w:bCs/>
          <w:color w:val="000000"/>
          <w:sz w:val="24"/>
          <w:szCs w:val="24"/>
          <w:lang w:val="en-US" w:eastAsia="zh-CN" w:bidi="ar-SA"/>
        </w:rPr>
      </w:pPr>
    </w:p>
    <w:p w14:paraId="261CBADA">
      <w:pPr>
        <w:widowControl/>
        <w:spacing w:line="800" w:lineRule="exact"/>
        <w:ind w:firstLine="320" w:firstLineChars="100"/>
        <w:jc w:val="left"/>
        <w:rPr>
          <w:rFonts w:hint="default" w:ascii="Times New Roman" w:hAnsi="Times New Roman" w:eastAsia="方正仿宋_GBK" w:cs="Times New Roman"/>
          <w:b w:val="0"/>
          <w:bCs/>
          <w:color w:val="auto"/>
          <w:sz w:val="32"/>
          <w:szCs w:val="24"/>
        </w:rPr>
      </w:pPr>
      <w:r>
        <w:rPr>
          <w:rFonts w:hint="default" w:ascii="Times New Roman" w:hAnsi="Times New Roman" w:eastAsia="方正仿宋_GBK" w:cs="Times New Roman"/>
          <w:b w:val="0"/>
          <w:bCs/>
          <w:color w:val="auto"/>
          <w:sz w:val="32"/>
          <w:szCs w:val="32"/>
        </w:rPr>
        <w:t>开州农</w:t>
      </w:r>
      <w:r>
        <w:rPr>
          <w:rFonts w:hint="default" w:ascii="Times New Roman" w:hAnsi="Times New Roman" w:eastAsia="方正仿宋_GBK" w:cs="Times New Roman"/>
          <w:b w:val="0"/>
          <w:bCs/>
          <w:color w:val="auto"/>
          <w:sz w:val="32"/>
          <w:szCs w:val="32"/>
          <w:lang w:eastAsia="zh-CN"/>
        </w:rPr>
        <w:t>发</w:t>
      </w:r>
      <w:r>
        <w:rPr>
          <w:rFonts w:hint="default" w:ascii="Times New Roman" w:hAnsi="Times New Roman" w:eastAsia="方正仿宋_GBK" w:cs="Times New Roman"/>
          <w:b w:val="0"/>
          <w:bCs/>
          <w:color w:val="auto"/>
          <w:sz w:val="32"/>
          <w:szCs w:val="32"/>
        </w:rPr>
        <w:t>〔202</w:t>
      </w:r>
      <w:r>
        <w:rPr>
          <w:rFonts w:hint="eastAsia" w:eastAsia="方正仿宋_GBK" w:cs="Times New Roman"/>
          <w:b w:val="0"/>
          <w:bCs/>
          <w:color w:val="auto"/>
          <w:sz w:val="32"/>
          <w:szCs w:val="32"/>
          <w:lang w:val="en-US" w:eastAsia="zh-CN"/>
        </w:rPr>
        <w:t>5</w:t>
      </w:r>
      <w:r>
        <w:rPr>
          <w:rFonts w:hint="default" w:ascii="Times New Roman" w:hAnsi="Times New Roman" w:eastAsia="方正仿宋_GBK" w:cs="Times New Roman"/>
          <w:b w:val="0"/>
          <w:bCs/>
          <w:color w:val="auto"/>
          <w:sz w:val="32"/>
          <w:szCs w:val="32"/>
        </w:rPr>
        <w:t>〕</w:t>
      </w:r>
      <w:r>
        <w:rPr>
          <w:rFonts w:hint="eastAsia" w:ascii="Times New Roman" w:hAnsi="Times New Roman" w:eastAsia="方正仿宋_GBK" w:cs="Times New Roman"/>
          <w:b w:val="0"/>
          <w:bCs/>
          <w:color w:val="auto"/>
          <w:sz w:val="32"/>
          <w:szCs w:val="32"/>
          <w:lang w:val="en-US" w:eastAsia="zh-CN"/>
        </w:rPr>
        <w:t>2</w:t>
      </w:r>
      <w:r>
        <w:rPr>
          <w:rFonts w:hint="eastAsia" w:eastAsia="方正仿宋_GBK" w:cs="Times New Roman"/>
          <w:b w:val="0"/>
          <w:bCs/>
          <w:color w:val="auto"/>
          <w:sz w:val="32"/>
          <w:szCs w:val="32"/>
          <w:lang w:val="en-US" w:eastAsia="zh-CN"/>
        </w:rPr>
        <w:t>9</w:t>
      </w:r>
      <w:r>
        <w:rPr>
          <w:rFonts w:hint="default" w:ascii="Times New Roman" w:hAnsi="Times New Roman" w:eastAsia="方正仿宋_GBK" w:cs="Times New Roman"/>
          <w:b w:val="0"/>
          <w:bCs/>
          <w:color w:val="auto"/>
          <w:sz w:val="32"/>
          <w:szCs w:val="32"/>
        </w:rPr>
        <w:t>号</w:t>
      </w:r>
      <w:r>
        <w:rPr>
          <w:rFonts w:hint="eastAsia" w:ascii="Times New Roman" w:hAnsi="Times New Roman" w:eastAsia="方正仿宋_GBK" w:cs="Times New Roman"/>
          <w:b w:val="0"/>
          <w:bCs/>
          <w:color w:val="auto"/>
          <w:sz w:val="32"/>
          <w:szCs w:val="32"/>
          <w:lang w:val="en-US" w:eastAsia="zh-CN"/>
        </w:rPr>
        <w:t xml:space="preserve">                </w:t>
      </w:r>
      <w:r>
        <w:rPr>
          <w:rFonts w:eastAsia="方正仿宋_GBK"/>
          <w:sz w:val="32"/>
        </w:rPr>
        <w:t>签发人：</w:t>
      </w:r>
      <w:r>
        <w:rPr>
          <w:rFonts w:hint="eastAsia" w:eastAsia="方正楷体_GBK"/>
          <w:sz w:val="32"/>
          <w:lang w:eastAsia="zh-CN"/>
        </w:rPr>
        <w:t>扈月文</w:t>
      </w:r>
    </w:p>
    <w:p w14:paraId="7CF21607">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方正小标宋_GBK" w:cs="Times New Roman"/>
          <w:color w:val="000000"/>
          <w:sz w:val="36"/>
          <w:szCs w:val="36"/>
          <w:u w:val="none" w:color="000000"/>
        </w:rPr>
      </w:pPr>
      <w:r>
        <w:rPr>
          <w:rFonts w:hint="default" w:ascii="Times New Roman" w:hAnsi="Times New Roman" w:eastAsia="宋体" w:cs="Times New Roman"/>
          <w:color w:val="000000"/>
          <w:sz w:val="44"/>
          <w:szCs w:val="24"/>
        </w:rPr>
        <w:pict>
          <v:line id="直接连接符 4" o:spid="_x0000_s1028" o:spt="20" style="position:absolute;left:0pt;margin-left:6.3pt;margin-top:10.4pt;height:1.5pt;width:435pt;z-index:251662336;mso-width-relative:page;mso-height-relative:page;" filled="f" stroked="t" coordsize="21600,21600" o:gfxdata="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am7AdIAAAAIAQAADwAAAAAAAAABACAAAAAiAAAAZHJzL2Rv&#10;d25yZXYueG1sUEsBAhQAFAAAAAgAh07iQAoSKEUHAgAAAQQAAA4AAAAAAAAAAQAgAAAAIQEAAGRy&#10;cy9lMm9Eb2MueG1sUEsFBgAAAAAGAAYAWQEAAJoFAAAAAA==&#10;">
            <v:path arrowok="t"/>
            <v:fill on="f" focussize="0,0"/>
            <v:stroke weight="2.25pt" color="#FF0000" joinstyle="round"/>
            <v:imagedata o:title=""/>
            <o:lock v:ext="edit" aspectratio="f"/>
          </v:line>
        </w:pict>
      </w:r>
    </w:p>
    <w:p w14:paraId="1137AEC3">
      <w:pPr>
        <w:spacing w:line="600" w:lineRule="exact"/>
        <w:jc w:val="center"/>
        <w:rPr>
          <w:rFonts w:eastAsia="方正小标宋简体"/>
          <w:sz w:val="44"/>
          <w:szCs w:val="44"/>
        </w:rPr>
      </w:pPr>
    </w:p>
    <w:p w14:paraId="5AECF1B1">
      <w:pPr>
        <w:adjustRightInd w:val="0"/>
        <w:snapToGrid w:val="0"/>
        <w:spacing w:line="594" w:lineRule="exact"/>
      </w:pPr>
    </w:p>
    <w:p w14:paraId="2CB7CB9F">
      <w:pPr>
        <w:pStyle w:val="2"/>
        <w:spacing w:line="594"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w:t>
      </w:r>
      <w:r>
        <w:rPr>
          <w:rFonts w:hint="eastAsia" w:ascii="Times New Roman" w:eastAsia="方正小标宋_GBK"/>
          <w:color w:val="000000"/>
          <w:sz w:val="44"/>
          <w:szCs w:val="44"/>
        </w:rPr>
        <w:t>农业农村委员会</w:t>
      </w:r>
    </w:p>
    <w:p w14:paraId="1F726DF4">
      <w:pPr>
        <w:pStyle w:val="2"/>
        <w:spacing w:line="594" w:lineRule="exact"/>
        <w:ind w:firstLine="0" w:firstLineChars="0"/>
        <w:jc w:val="center"/>
        <w:rPr>
          <w:rFonts w:ascii="方正小标宋_GBK" w:hAnsi="方正小标宋_GBK" w:eastAsia="方正小标宋_GBK" w:cs="方正小标宋_GBK"/>
          <w:sz w:val="44"/>
          <w:szCs w:val="44"/>
        </w:rPr>
      </w:pPr>
      <w:r>
        <w:rPr>
          <w:rFonts w:eastAsia="方正小标宋_GBK"/>
          <w:sz w:val="44"/>
          <w:szCs w:val="44"/>
        </w:rPr>
        <w:t>关于</w:t>
      </w:r>
      <w:r>
        <w:rPr>
          <w:rFonts w:hint="eastAsia" w:eastAsia="方正小标宋_GBK"/>
          <w:sz w:val="44"/>
          <w:szCs w:val="44"/>
        </w:rPr>
        <w:t>重庆市开州区</w:t>
      </w:r>
      <w:r>
        <w:rPr>
          <w:rFonts w:hint="eastAsia" w:ascii="方正小标宋_GBK" w:hAnsi="方正小标宋_GBK" w:eastAsia="方正小标宋_GBK" w:cs="方正小标宋_GBK"/>
          <w:sz w:val="44"/>
          <w:szCs w:val="44"/>
          <w:u w:color="000000"/>
        </w:rPr>
        <w:t>农民科技教育培训中心</w:t>
      </w:r>
    </w:p>
    <w:p w14:paraId="5C51D901">
      <w:pPr>
        <w:spacing w:line="594" w:lineRule="exact"/>
        <w:jc w:val="center"/>
        <w:rPr>
          <w:rFonts w:eastAsia="方正小标宋_GBK"/>
          <w:sz w:val="44"/>
          <w:szCs w:val="44"/>
        </w:rPr>
      </w:pPr>
      <w:r>
        <w:rPr>
          <w:rFonts w:eastAsia="方正小标宋_GBK"/>
          <w:sz w:val="44"/>
          <w:szCs w:val="44"/>
        </w:rPr>
        <w:t>2024年部门预算情况公开的公告</w:t>
      </w:r>
    </w:p>
    <w:p w14:paraId="1B1BE165">
      <w:pPr>
        <w:adjustRightInd w:val="0"/>
        <w:snapToGrid w:val="0"/>
        <w:spacing w:line="594" w:lineRule="exact"/>
        <w:jc w:val="center"/>
        <w:rPr>
          <w:rFonts w:eastAsia="方正小标宋_GBK"/>
          <w:sz w:val="44"/>
          <w:szCs w:val="44"/>
        </w:rPr>
      </w:pPr>
    </w:p>
    <w:p w14:paraId="4EDD91D9">
      <w:pPr>
        <w:adjustRightInd w:val="0"/>
        <w:snapToGrid w:val="0"/>
        <w:spacing w:line="594"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按照有关财政预算公开的部署和要求，依据《中华人民共和国政府信息公开条例》（国务院令第492号）和</w:t>
      </w:r>
      <w:r>
        <w:rPr>
          <w:rFonts w:hint="eastAsia" w:eastAsia="方正仿宋_GBK"/>
          <w:sz w:val="32"/>
          <w:szCs w:val="32"/>
        </w:rPr>
        <w:t>重庆市开州区农业农村委员会</w:t>
      </w:r>
      <w:r>
        <w:rPr>
          <w:rFonts w:eastAsia="方正仿宋_GBK"/>
          <w:sz w:val="32"/>
          <w:szCs w:val="32"/>
        </w:rPr>
        <w:t>《</w:t>
      </w:r>
      <w:r>
        <w:rPr>
          <w:rFonts w:hint="eastAsia" w:eastAsia="方正仿宋_GBK"/>
          <w:sz w:val="32"/>
          <w:szCs w:val="32"/>
        </w:rPr>
        <w:t>关于批复2025年区农民科技教育培训中心部门预算的通知</w:t>
      </w:r>
      <w:r>
        <w:rPr>
          <w:rFonts w:eastAsia="方正仿宋_GBK"/>
          <w:sz w:val="32"/>
          <w:szCs w:val="32"/>
        </w:rPr>
        <w:t>》（</w:t>
      </w:r>
      <w:r>
        <w:rPr>
          <w:rFonts w:hint="eastAsia" w:eastAsia="方正仿宋_GBK"/>
          <w:sz w:val="32"/>
          <w:szCs w:val="32"/>
        </w:rPr>
        <w:t>开州农发〔2025〕22号</w:t>
      </w:r>
      <w:r>
        <w:rPr>
          <w:rFonts w:eastAsia="方正仿宋_GBK"/>
          <w:sz w:val="32"/>
          <w:szCs w:val="32"/>
        </w:rPr>
        <w:t>）,现将</w:t>
      </w:r>
      <w:r>
        <w:rPr>
          <w:rFonts w:hint="eastAsia" w:ascii="方正仿宋_GBK" w:hAnsi="方正仿宋_GBK" w:eastAsia="方正仿宋_GBK" w:cs="方正仿宋_GBK"/>
          <w:sz w:val="32"/>
          <w:szCs w:val="32"/>
          <w:u w:color="000000"/>
        </w:rPr>
        <w:t>重庆市开州区农民科技教育培训中心</w:t>
      </w:r>
      <w:r>
        <w:rPr>
          <w:rFonts w:hint="eastAsia" w:eastAsia="方正仿宋_GBK"/>
          <w:sz w:val="32"/>
          <w:szCs w:val="32"/>
        </w:rPr>
        <w:t>2025</w:t>
      </w:r>
      <w:r>
        <w:rPr>
          <w:rFonts w:eastAsia="方正仿宋_GBK"/>
          <w:sz w:val="32"/>
          <w:szCs w:val="32"/>
        </w:rPr>
        <w:t>年部门预算批复情况公开如下：</w:t>
      </w:r>
    </w:p>
    <w:p w14:paraId="300DB049">
      <w:pPr>
        <w:adjustRightInd w:val="0"/>
        <w:snapToGrid w:val="0"/>
        <w:spacing w:line="594" w:lineRule="exact"/>
        <w:jc w:val="center"/>
        <w:rPr>
          <w:rFonts w:eastAsia="方正黑体_GBK"/>
          <w:sz w:val="32"/>
          <w:szCs w:val="32"/>
        </w:rPr>
      </w:pPr>
    </w:p>
    <w:p w14:paraId="50DAE300">
      <w:pPr>
        <w:adjustRightInd w:val="0"/>
        <w:snapToGrid w:val="0"/>
        <w:spacing w:line="594" w:lineRule="exact"/>
        <w:jc w:val="center"/>
        <w:rPr>
          <w:rFonts w:eastAsia="方正黑体_GBK"/>
          <w:sz w:val="32"/>
          <w:szCs w:val="32"/>
        </w:rPr>
      </w:pPr>
    </w:p>
    <w:p w14:paraId="0D625892">
      <w:pPr>
        <w:adjustRightInd w:val="0"/>
        <w:snapToGrid w:val="0"/>
        <w:spacing w:line="594" w:lineRule="exact"/>
        <w:jc w:val="center"/>
        <w:rPr>
          <w:rFonts w:ascii="方正小标宋_GBK" w:eastAsia="方正小标宋_GBK"/>
          <w:sz w:val="44"/>
          <w:szCs w:val="44"/>
        </w:rPr>
      </w:pPr>
      <w:r>
        <w:rPr>
          <w:rFonts w:hint="eastAsia" w:ascii="方正小标宋_GBK" w:eastAsia="方正小标宋_GBK"/>
          <w:sz w:val="44"/>
          <w:szCs w:val="44"/>
        </w:rPr>
        <w:t>目    录</w:t>
      </w:r>
    </w:p>
    <w:p w14:paraId="7C401F51">
      <w:pPr>
        <w:adjustRightInd w:val="0"/>
        <w:snapToGrid w:val="0"/>
        <w:spacing w:line="594" w:lineRule="exact"/>
      </w:pPr>
    </w:p>
    <w:p w14:paraId="35311523">
      <w:pPr>
        <w:adjustRightInd w:val="0"/>
        <w:snapToGrid w:val="0"/>
        <w:spacing w:line="594" w:lineRule="exact"/>
        <w:jc w:val="center"/>
        <w:rPr>
          <w:rFonts w:eastAsia="方正楷体_GBK"/>
          <w:sz w:val="32"/>
          <w:szCs w:val="32"/>
        </w:rPr>
      </w:pPr>
      <w:r>
        <w:rPr>
          <w:rFonts w:eastAsia="方正楷体_GBK"/>
          <w:sz w:val="32"/>
          <w:szCs w:val="32"/>
        </w:rPr>
        <w:t>第一部分：</w:t>
      </w:r>
      <w:r>
        <w:rPr>
          <w:rFonts w:hint="eastAsia" w:eastAsia="方正楷体_GBK"/>
          <w:sz w:val="32"/>
          <w:szCs w:val="32"/>
        </w:rPr>
        <w:t>2025</w:t>
      </w:r>
      <w:r>
        <w:rPr>
          <w:rFonts w:eastAsia="方正楷体_GBK"/>
          <w:sz w:val="32"/>
          <w:szCs w:val="32"/>
        </w:rPr>
        <w:t>年部门预算情况说明</w:t>
      </w:r>
    </w:p>
    <w:p w14:paraId="7B99FB69">
      <w:pPr>
        <w:adjustRightInd w:val="0"/>
        <w:snapToGrid w:val="0"/>
        <w:spacing w:line="594" w:lineRule="exact"/>
      </w:pPr>
    </w:p>
    <w:p w14:paraId="7170B301">
      <w:pPr>
        <w:adjustRightInd w:val="0"/>
        <w:snapToGrid w:val="0"/>
        <w:spacing w:line="594" w:lineRule="exact"/>
        <w:rPr>
          <w:rFonts w:eastAsia="方正仿宋_GBK"/>
          <w:sz w:val="32"/>
          <w:szCs w:val="32"/>
        </w:rPr>
      </w:pPr>
      <w:r>
        <w:rPr>
          <w:rFonts w:eastAsia="方正仿宋_GBK"/>
          <w:sz w:val="32"/>
          <w:szCs w:val="32"/>
        </w:rPr>
        <w:t>一、单位基本情况</w:t>
      </w:r>
    </w:p>
    <w:p w14:paraId="42B34CD0">
      <w:pPr>
        <w:adjustRightInd w:val="0"/>
        <w:snapToGrid w:val="0"/>
        <w:spacing w:line="594" w:lineRule="exact"/>
        <w:rPr>
          <w:rFonts w:eastAsia="方正仿宋_GBK"/>
          <w:sz w:val="32"/>
          <w:szCs w:val="32"/>
        </w:rPr>
      </w:pPr>
      <w:r>
        <w:rPr>
          <w:rFonts w:eastAsia="方正仿宋_GBK"/>
          <w:sz w:val="32"/>
          <w:szCs w:val="32"/>
        </w:rPr>
        <w:t>二、部门收支总体情况</w:t>
      </w:r>
    </w:p>
    <w:p w14:paraId="6DB338AD">
      <w:pPr>
        <w:adjustRightInd w:val="0"/>
        <w:snapToGrid w:val="0"/>
        <w:spacing w:line="594" w:lineRule="exact"/>
        <w:rPr>
          <w:rFonts w:eastAsia="方正仿宋_GBK"/>
          <w:sz w:val="32"/>
          <w:szCs w:val="32"/>
        </w:rPr>
      </w:pPr>
      <w:r>
        <w:rPr>
          <w:rFonts w:eastAsia="方正仿宋_GBK"/>
          <w:sz w:val="32"/>
          <w:szCs w:val="32"/>
        </w:rPr>
        <w:t>三、部门预算情况说明</w:t>
      </w:r>
    </w:p>
    <w:p w14:paraId="5F7E478A">
      <w:pPr>
        <w:adjustRightInd w:val="0"/>
        <w:snapToGrid w:val="0"/>
        <w:spacing w:line="594" w:lineRule="exact"/>
        <w:rPr>
          <w:rFonts w:eastAsia="方正仿宋_GBK"/>
          <w:sz w:val="32"/>
          <w:szCs w:val="32"/>
        </w:rPr>
      </w:pPr>
      <w:r>
        <w:rPr>
          <w:rFonts w:eastAsia="方正仿宋_GBK"/>
          <w:sz w:val="32"/>
          <w:szCs w:val="32"/>
        </w:rPr>
        <w:t>四、</w:t>
      </w:r>
      <w:r>
        <w:rPr>
          <w:rFonts w:hint="eastAsia" w:ascii="方正仿宋_GBK" w:eastAsia="方正仿宋_GBK"/>
          <w:sz w:val="32"/>
          <w:szCs w:val="32"/>
        </w:rPr>
        <w:t>“三公”经费</w:t>
      </w:r>
      <w:r>
        <w:rPr>
          <w:rFonts w:eastAsia="方正仿宋_GBK"/>
          <w:sz w:val="32"/>
          <w:szCs w:val="32"/>
        </w:rPr>
        <w:t>情况说明</w:t>
      </w:r>
    </w:p>
    <w:p w14:paraId="022244D6">
      <w:pPr>
        <w:adjustRightInd w:val="0"/>
        <w:snapToGrid w:val="0"/>
        <w:spacing w:line="594" w:lineRule="exact"/>
        <w:rPr>
          <w:rFonts w:eastAsia="方正仿宋_GBK"/>
          <w:sz w:val="32"/>
          <w:szCs w:val="32"/>
        </w:rPr>
      </w:pPr>
      <w:r>
        <w:rPr>
          <w:rFonts w:eastAsia="方正仿宋_GBK"/>
          <w:sz w:val="32"/>
          <w:szCs w:val="32"/>
        </w:rPr>
        <w:t>五、其他重要事项的情况说明</w:t>
      </w:r>
    </w:p>
    <w:p w14:paraId="3B08EA8A">
      <w:pPr>
        <w:adjustRightInd w:val="0"/>
        <w:snapToGrid w:val="0"/>
        <w:spacing w:line="594" w:lineRule="exact"/>
        <w:rPr>
          <w:rFonts w:eastAsia="方正仿宋_GBK"/>
          <w:sz w:val="32"/>
          <w:szCs w:val="32"/>
        </w:rPr>
      </w:pPr>
      <w:r>
        <w:rPr>
          <w:rFonts w:eastAsia="方正仿宋_GBK"/>
          <w:sz w:val="32"/>
          <w:szCs w:val="32"/>
        </w:rPr>
        <w:t>六、专业性名词解释</w:t>
      </w:r>
    </w:p>
    <w:p w14:paraId="0B311E0F">
      <w:pPr>
        <w:adjustRightInd w:val="0"/>
        <w:snapToGrid w:val="0"/>
        <w:spacing w:line="594" w:lineRule="exact"/>
        <w:rPr>
          <w:rFonts w:eastAsia="方正仿宋_GBK"/>
          <w:sz w:val="32"/>
          <w:szCs w:val="32"/>
        </w:rPr>
      </w:pPr>
    </w:p>
    <w:p w14:paraId="6ED4DA74">
      <w:pPr>
        <w:adjustRightInd w:val="0"/>
        <w:snapToGrid w:val="0"/>
        <w:spacing w:line="594" w:lineRule="exact"/>
        <w:jc w:val="center"/>
      </w:pPr>
      <w:r>
        <w:rPr>
          <w:rFonts w:eastAsia="方正楷体_GBK"/>
          <w:sz w:val="32"/>
          <w:szCs w:val="32"/>
        </w:rPr>
        <w:t>第二部分：</w:t>
      </w:r>
      <w:r>
        <w:rPr>
          <w:rFonts w:hint="eastAsia" w:eastAsia="方正楷体_GBK"/>
          <w:sz w:val="32"/>
          <w:szCs w:val="32"/>
        </w:rPr>
        <w:t>2025</w:t>
      </w:r>
      <w:r>
        <w:rPr>
          <w:rFonts w:eastAsia="方正楷体_GBK"/>
          <w:sz w:val="32"/>
          <w:szCs w:val="32"/>
        </w:rPr>
        <w:t>年部门预算</w:t>
      </w:r>
      <w:r>
        <w:rPr>
          <w:rFonts w:hint="eastAsia" w:eastAsia="方正楷体_GBK"/>
          <w:sz w:val="32"/>
          <w:szCs w:val="32"/>
        </w:rPr>
        <w:t>公开报</w:t>
      </w:r>
      <w:r>
        <w:rPr>
          <w:rFonts w:eastAsia="方正楷体_GBK"/>
          <w:sz w:val="32"/>
          <w:szCs w:val="32"/>
        </w:rPr>
        <w:t>表</w:t>
      </w:r>
    </w:p>
    <w:p w14:paraId="17FC8F20">
      <w:pPr>
        <w:adjustRightInd w:val="0"/>
        <w:snapToGrid w:val="0"/>
        <w:spacing w:line="594" w:lineRule="exact"/>
      </w:pPr>
    </w:p>
    <w:p w14:paraId="0E03C3D3">
      <w:pPr>
        <w:adjustRightInd w:val="0"/>
        <w:snapToGrid w:val="0"/>
        <w:spacing w:line="594" w:lineRule="exact"/>
        <w:rPr>
          <w:rFonts w:eastAsia="方正仿宋_GBK"/>
          <w:sz w:val="32"/>
          <w:szCs w:val="32"/>
        </w:rPr>
      </w:pPr>
      <w:r>
        <w:rPr>
          <w:rFonts w:eastAsia="方正仿宋_GBK"/>
          <w:sz w:val="32"/>
          <w:szCs w:val="32"/>
        </w:rPr>
        <w:t>表1、</w:t>
      </w:r>
      <w:r>
        <w:rPr>
          <w:rFonts w:hint="eastAsia" w:ascii="方正仿宋_GBK" w:hAnsi="方正仿宋_GBK" w:eastAsia="方正仿宋_GBK" w:cs="方正仿宋_GBK"/>
          <w:sz w:val="32"/>
          <w:szCs w:val="32"/>
          <w:u w:color="000000"/>
        </w:rPr>
        <w:t>重庆市开州区农民科技教育培训中心</w:t>
      </w:r>
      <w:r>
        <w:rPr>
          <w:rFonts w:hint="eastAsia" w:eastAsia="方正仿宋_GBK"/>
          <w:sz w:val="32"/>
          <w:szCs w:val="32"/>
        </w:rPr>
        <w:t>收支预算总表</w:t>
      </w:r>
    </w:p>
    <w:p w14:paraId="538AF3CF">
      <w:pPr>
        <w:adjustRightInd w:val="0"/>
        <w:snapToGrid w:val="0"/>
        <w:spacing w:line="594" w:lineRule="exact"/>
        <w:rPr>
          <w:rFonts w:eastAsia="方正仿宋_GBK"/>
          <w:sz w:val="32"/>
          <w:szCs w:val="32"/>
        </w:rPr>
      </w:pPr>
      <w:r>
        <w:rPr>
          <w:rFonts w:eastAsia="方正仿宋_GBK"/>
          <w:sz w:val="32"/>
          <w:szCs w:val="32"/>
        </w:rPr>
        <w:t>表2、</w:t>
      </w:r>
      <w:r>
        <w:rPr>
          <w:rFonts w:hint="eastAsia" w:ascii="方正仿宋_GBK" w:hAnsi="方正仿宋_GBK" w:eastAsia="方正仿宋_GBK" w:cs="方正仿宋_GBK"/>
          <w:sz w:val="32"/>
          <w:szCs w:val="32"/>
          <w:u w:color="000000"/>
        </w:rPr>
        <w:t>重庆市开州区农民科技教育培训中心</w:t>
      </w:r>
      <w:r>
        <w:rPr>
          <w:rFonts w:eastAsia="方正仿宋_GBK"/>
          <w:sz w:val="32"/>
          <w:szCs w:val="32"/>
        </w:rPr>
        <w:t>收入总表</w:t>
      </w:r>
    </w:p>
    <w:p w14:paraId="34084BFD">
      <w:pPr>
        <w:adjustRightInd w:val="0"/>
        <w:snapToGrid w:val="0"/>
        <w:spacing w:line="594" w:lineRule="exact"/>
        <w:rPr>
          <w:rFonts w:eastAsia="方正仿宋_GBK"/>
          <w:sz w:val="32"/>
          <w:szCs w:val="32"/>
        </w:rPr>
      </w:pPr>
      <w:r>
        <w:rPr>
          <w:rFonts w:eastAsia="方正仿宋_GBK"/>
          <w:sz w:val="32"/>
          <w:szCs w:val="32"/>
        </w:rPr>
        <w:t>表3、</w:t>
      </w:r>
      <w:r>
        <w:rPr>
          <w:rFonts w:hint="eastAsia" w:ascii="方正仿宋_GBK" w:hAnsi="方正仿宋_GBK" w:eastAsia="方正仿宋_GBK" w:cs="方正仿宋_GBK"/>
          <w:sz w:val="32"/>
          <w:szCs w:val="32"/>
          <w:u w:color="000000"/>
        </w:rPr>
        <w:t>重庆市开州区农民科技教育培训中心</w:t>
      </w:r>
      <w:r>
        <w:rPr>
          <w:rFonts w:hint="eastAsia" w:eastAsia="方正仿宋_GBK"/>
          <w:sz w:val="32"/>
          <w:szCs w:val="32"/>
        </w:rPr>
        <w:t>本年</w:t>
      </w:r>
      <w:r>
        <w:rPr>
          <w:rFonts w:eastAsia="方正仿宋_GBK"/>
          <w:sz w:val="32"/>
          <w:szCs w:val="32"/>
        </w:rPr>
        <w:t>支出</w:t>
      </w:r>
      <w:r>
        <w:rPr>
          <w:rFonts w:hint="eastAsia" w:eastAsia="方正仿宋_GBK"/>
          <w:sz w:val="32"/>
          <w:szCs w:val="32"/>
        </w:rPr>
        <w:t>预算总</w:t>
      </w:r>
      <w:r>
        <w:rPr>
          <w:rFonts w:eastAsia="方正仿宋_GBK"/>
          <w:sz w:val="32"/>
          <w:szCs w:val="32"/>
        </w:rPr>
        <w:t>表</w:t>
      </w:r>
    </w:p>
    <w:p w14:paraId="17EB26B0">
      <w:pPr>
        <w:adjustRightInd w:val="0"/>
        <w:snapToGrid w:val="0"/>
        <w:spacing w:line="594" w:lineRule="exact"/>
        <w:ind w:left="960" w:hanging="960" w:hangingChars="300"/>
        <w:rPr>
          <w:rFonts w:eastAsia="方正仿宋_GBK"/>
          <w:sz w:val="32"/>
          <w:szCs w:val="32"/>
        </w:rPr>
      </w:pPr>
      <w:r>
        <w:rPr>
          <w:rFonts w:eastAsia="方正仿宋_GBK"/>
          <w:sz w:val="32"/>
          <w:szCs w:val="32"/>
        </w:rPr>
        <w:t>表4、</w:t>
      </w:r>
      <w:r>
        <w:rPr>
          <w:rFonts w:hint="eastAsia" w:ascii="方正仿宋_GBK" w:hAnsi="方正仿宋_GBK" w:eastAsia="方正仿宋_GBK" w:cs="方正仿宋_GBK"/>
          <w:sz w:val="32"/>
          <w:szCs w:val="32"/>
          <w:u w:color="000000"/>
        </w:rPr>
        <w:t>重庆市开州区农民科技教育培训中心</w:t>
      </w:r>
      <w:r>
        <w:rPr>
          <w:rFonts w:eastAsia="方正仿宋_GBK"/>
          <w:sz w:val="32"/>
          <w:szCs w:val="32"/>
        </w:rPr>
        <w:t>财政拨款收支</w:t>
      </w:r>
      <w:r>
        <w:rPr>
          <w:rFonts w:hint="eastAsia" w:eastAsia="方正仿宋_GBK"/>
          <w:sz w:val="32"/>
          <w:szCs w:val="32"/>
        </w:rPr>
        <w:t>预算总</w:t>
      </w:r>
      <w:r>
        <w:rPr>
          <w:rFonts w:eastAsia="方正仿宋_GBK"/>
          <w:sz w:val="32"/>
          <w:szCs w:val="32"/>
        </w:rPr>
        <w:t>表</w:t>
      </w:r>
    </w:p>
    <w:p w14:paraId="188AE324">
      <w:pPr>
        <w:adjustRightInd w:val="0"/>
        <w:snapToGrid w:val="0"/>
        <w:spacing w:line="594" w:lineRule="exact"/>
        <w:ind w:left="960" w:hanging="960" w:hangingChars="300"/>
        <w:rPr>
          <w:rFonts w:eastAsia="方正仿宋_GBK"/>
          <w:sz w:val="32"/>
          <w:szCs w:val="32"/>
        </w:rPr>
      </w:pPr>
      <w:r>
        <w:rPr>
          <w:rFonts w:eastAsia="方正仿宋_GBK"/>
          <w:sz w:val="32"/>
          <w:szCs w:val="32"/>
        </w:rPr>
        <w:t>表5、</w:t>
      </w:r>
      <w:r>
        <w:rPr>
          <w:rFonts w:hint="eastAsia" w:ascii="方正仿宋_GBK" w:hAnsi="方正仿宋_GBK" w:eastAsia="方正仿宋_GBK" w:cs="方正仿宋_GBK"/>
          <w:sz w:val="32"/>
          <w:szCs w:val="32"/>
          <w:u w:color="000000"/>
        </w:rPr>
        <w:t>重庆市开州区农民科技教育培训中心</w:t>
      </w:r>
      <w:r>
        <w:rPr>
          <w:rFonts w:hint="eastAsia" w:eastAsia="方正仿宋_GBK"/>
          <w:sz w:val="32"/>
          <w:szCs w:val="32"/>
        </w:rPr>
        <w:t>本年</w:t>
      </w:r>
      <w:r>
        <w:rPr>
          <w:rFonts w:eastAsia="方正仿宋_GBK"/>
          <w:sz w:val="32"/>
          <w:szCs w:val="32"/>
        </w:rPr>
        <w:t>一般公共预算支出</w:t>
      </w:r>
      <w:r>
        <w:rPr>
          <w:rFonts w:hint="eastAsia" w:eastAsia="方正仿宋_GBK"/>
          <w:sz w:val="32"/>
          <w:szCs w:val="32"/>
        </w:rPr>
        <w:t>预算</w:t>
      </w:r>
      <w:r>
        <w:rPr>
          <w:rFonts w:eastAsia="方正仿宋_GBK"/>
          <w:sz w:val="32"/>
          <w:szCs w:val="32"/>
        </w:rPr>
        <w:t>表</w:t>
      </w:r>
    </w:p>
    <w:p w14:paraId="3EB64B10">
      <w:pPr>
        <w:adjustRightInd w:val="0"/>
        <w:snapToGrid w:val="0"/>
        <w:spacing w:line="594" w:lineRule="exact"/>
        <w:ind w:left="960" w:hanging="960" w:hangingChars="300"/>
        <w:rPr>
          <w:rFonts w:eastAsia="方正仿宋_GBK"/>
          <w:sz w:val="32"/>
          <w:szCs w:val="32"/>
        </w:rPr>
      </w:pPr>
      <w:r>
        <w:rPr>
          <w:rFonts w:eastAsia="方正仿宋_GBK"/>
          <w:sz w:val="32"/>
          <w:szCs w:val="32"/>
        </w:rPr>
        <w:t>表6、</w:t>
      </w:r>
      <w:r>
        <w:rPr>
          <w:rFonts w:hint="eastAsia" w:ascii="方正仿宋_GBK" w:hAnsi="方正仿宋_GBK" w:eastAsia="方正仿宋_GBK" w:cs="方正仿宋_GBK"/>
          <w:sz w:val="32"/>
          <w:szCs w:val="32"/>
          <w:u w:color="000000"/>
        </w:rPr>
        <w:t>重庆市开州区农民科技教育培训中心</w:t>
      </w:r>
      <w:r>
        <w:rPr>
          <w:rFonts w:eastAsia="方正仿宋_GBK"/>
          <w:sz w:val="32"/>
          <w:szCs w:val="32"/>
        </w:rPr>
        <w:t>一般公共预算基本支出</w:t>
      </w:r>
      <w:r>
        <w:rPr>
          <w:rFonts w:hint="eastAsia" w:eastAsia="方正仿宋_GBK"/>
          <w:sz w:val="32"/>
          <w:szCs w:val="32"/>
        </w:rPr>
        <w:t>预算</w:t>
      </w:r>
      <w:r>
        <w:rPr>
          <w:rFonts w:eastAsia="方正仿宋_GBK"/>
          <w:sz w:val="32"/>
          <w:szCs w:val="32"/>
        </w:rPr>
        <w:t>表</w:t>
      </w:r>
    </w:p>
    <w:p w14:paraId="24178A3A">
      <w:pPr>
        <w:adjustRightInd w:val="0"/>
        <w:snapToGrid w:val="0"/>
        <w:spacing w:line="594" w:lineRule="exact"/>
        <w:ind w:left="960" w:hanging="960" w:hangingChars="300"/>
        <w:rPr>
          <w:rFonts w:eastAsia="方正仿宋_GBK"/>
          <w:sz w:val="32"/>
          <w:szCs w:val="32"/>
        </w:rPr>
      </w:pPr>
      <w:r>
        <w:rPr>
          <w:rFonts w:eastAsia="方正仿宋_GBK"/>
          <w:sz w:val="32"/>
          <w:szCs w:val="32"/>
        </w:rPr>
        <w:t>表7、</w:t>
      </w:r>
      <w:r>
        <w:rPr>
          <w:rFonts w:hint="eastAsia" w:ascii="方正仿宋_GBK" w:hAnsi="方正仿宋_GBK" w:eastAsia="方正仿宋_GBK" w:cs="方正仿宋_GBK"/>
          <w:sz w:val="32"/>
          <w:szCs w:val="32"/>
          <w:u w:color="000000"/>
        </w:rPr>
        <w:t>重庆市开州区农民科技教育培训中心</w:t>
      </w:r>
      <w:r>
        <w:rPr>
          <w:rFonts w:eastAsia="方正仿宋_GBK"/>
          <w:sz w:val="32"/>
          <w:szCs w:val="32"/>
        </w:rPr>
        <w:t>一般公共预</w:t>
      </w:r>
      <w:r>
        <w:rPr>
          <w:rFonts w:hint="eastAsia" w:ascii="方正仿宋_GBK" w:eastAsia="方正仿宋_GBK"/>
          <w:sz w:val="32"/>
          <w:szCs w:val="32"/>
        </w:rPr>
        <w:t>算“三公”经费</w:t>
      </w:r>
      <w:r>
        <w:rPr>
          <w:rFonts w:eastAsia="方正仿宋_GBK"/>
          <w:sz w:val="32"/>
          <w:szCs w:val="32"/>
        </w:rPr>
        <w:t>支出</w:t>
      </w:r>
      <w:r>
        <w:rPr>
          <w:rFonts w:hint="eastAsia" w:eastAsia="方正仿宋_GBK"/>
          <w:sz w:val="32"/>
          <w:szCs w:val="32"/>
        </w:rPr>
        <w:t>预算</w:t>
      </w:r>
      <w:r>
        <w:rPr>
          <w:rFonts w:eastAsia="方正仿宋_GBK"/>
          <w:sz w:val="32"/>
          <w:szCs w:val="32"/>
        </w:rPr>
        <w:t>表</w:t>
      </w:r>
    </w:p>
    <w:p w14:paraId="7BC2B943">
      <w:pPr>
        <w:adjustRightInd w:val="0"/>
        <w:snapToGrid w:val="0"/>
        <w:spacing w:line="594" w:lineRule="exact"/>
        <w:ind w:left="960" w:hanging="960" w:hangingChars="300"/>
        <w:rPr>
          <w:rFonts w:eastAsia="方正仿宋_GBK"/>
          <w:sz w:val="32"/>
          <w:szCs w:val="32"/>
        </w:rPr>
      </w:pPr>
      <w:r>
        <w:rPr>
          <w:rFonts w:eastAsia="方正仿宋_GBK"/>
          <w:sz w:val="32"/>
          <w:szCs w:val="32"/>
        </w:rPr>
        <w:t>表8、</w:t>
      </w:r>
      <w:r>
        <w:rPr>
          <w:rFonts w:hint="eastAsia" w:ascii="方正仿宋_GBK" w:hAnsi="方正仿宋_GBK" w:eastAsia="方正仿宋_GBK" w:cs="方正仿宋_GBK"/>
          <w:sz w:val="32"/>
          <w:szCs w:val="32"/>
          <w:u w:color="000000"/>
        </w:rPr>
        <w:t>重庆市开州区农民科技教育培训中心</w:t>
      </w:r>
      <w:r>
        <w:rPr>
          <w:rFonts w:eastAsia="方正仿宋_GBK"/>
          <w:sz w:val="32"/>
          <w:szCs w:val="32"/>
        </w:rPr>
        <w:t>政府性基金预算支出</w:t>
      </w:r>
      <w:r>
        <w:rPr>
          <w:rFonts w:hint="eastAsia" w:eastAsia="方正仿宋_GBK"/>
          <w:sz w:val="32"/>
          <w:szCs w:val="32"/>
        </w:rPr>
        <w:t>预算</w:t>
      </w:r>
      <w:r>
        <w:rPr>
          <w:rFonts w:eastAsia="方正仿宋_GBK"/>
          <w:sz w:val="32"/>
          <w:szCs w:val="32"/>
        </w:rPr>
        <w:t>表</w:t>
      </w:r>
    </w:p>
    <w:p w14:paraId="15EE18F1">
      <w:pPr>
        <w:adjustRightInd w:val="0"/>
        <w:snapToGrid w:val="0"/>
        <w:spacing w:line="594" w:lineRule="exact"/>
        <w:ind w:left="960" w:hanging="960" w:hangingChars="300"/>
        <w:rPr>
          <w:rFonts w:eastAsia="方正仿宋_GBK"/>
          <w:sz w:val="32"/>
          <w:szCs w:val="32"/>
        </w:rPr>
      </w:pPr>
      <w:r>
        <w:rPr>
          <w:rFonts w:eastAsia="方正仿宋_GBK"/>
          <w:sz w:val="32"/>
          <w:szCs w:val="32"/>
        </w:rPr>
        <w:t>表9、</w:t>
      </w:r>
      <w:r>
        <w:rPr>
          <w:rFonts w:hint="eastAsia" w:ascii="方正仿宋_GBK" w:hAnsi="方正仿宋_GBK" w:eastAsia="方正仿宋_GBK" w:cs="方正仿宋_GBK"/>
          <w:sz w:val="32"/>
          <w:szCs w:val="32"/>
          <w:u w:color="000000"/>
        </w:rPr>
        <w:t>重庆市开州区农民科技教育培训中心</w:t>
      </w:r>
      <w:r>
        <w:rPr>
          <w:rFonts w:eastAsia="方正仿宋_GBK"/>
          <w:sz w:val="32"/>
          <w:szCs w:val="32"/>
        </w:rPr>
        <w:t>国有资本经营预算支出</w:t>
      </w:r>
      <w:r>
        <w:rPr>
          <w:rFonts w:hint="eastAsia" w:eastAsia="方正仿宋_GBK"/>
          <w:sz w:val="32"/>
          <w:szCs w:val="32"/>
        </w:rPr>
        <w:t>预算</w:t>
      </w:r>
      <w:r>
        <w:rPr>
          <w:rFonts w:eastAsia="方正仿宋_GBK"/>
          <w:sz w:val="32"/>
          <w:szCs w:val="32"/>
        </w:rPr>
        <w:t>表</w:t>
      </w:r>
    </w:p>
    <w:p w14:paraId="0ED40660">
      <w:pPr>
        <w:adjustRightInd w:val="0"/>
        <w:snapToGrid w:val="0"/>
        <w:spacing w:line="594" w:lineRule="exact"/>
        <w:rPr>
          <w:rFonts w:eastAsia="方正仿宋_GBK"/>
          <w:sz w:val="32"/>
          <w:szCs w:val="32"/>
        </w:rPr>
      </w:pPr>
      <w:r>
        <w:rPr>
          <w:rFonts w:eastAsia="方正仿宋_GBK"/>
          <w:sz w:val="32"/>
          <w:szCs w:val="32"/>
        </w:rPr>
        <w:t>表10、</w:t>
      </w:r>
      <w:r>
        <w:rPr>
          <w:rFonts w:hint="eastAsia" w:ascii="方正仿宋_GBK" w:hAnsi="方正仿宋_GBK" w:eastAsia="方正仿宋_GBK" w:cs="方正仿宋_GBK"/>
          <w:sz w:val="32"/>
          <w:szCs w:val="32"/>
          <w:u w:color="000000"/>
        </w:rPr>
        <w:t>重庆市开州区农民科技教育培训中心</w:t>
      </w:r>
      <w:r>
        <w:rPr>
          <w:rFonts w:eastAsia="方正仿宋_GBK"/>
          <w:sz w:val="32"/>
          <w:szCs w:val="32"/>
        </w:rPr>
        <w:t>项目支出表</w:t>
      </w:r>
    </w:p>
    <w:p w14:paraId="33F710E9">
      <w:pPr>
        <w:adjustRightInd w:val="0"/>
        <w:snapToGrid w:val="0"/>
        <w:spacing w:line="594" w:lineRule="exact"/>
        <w:ind w:left="960" w:hanging="960" w:hangingChars="300"/>
        <w:rPr>
          <w:rFonts w:eastAsia="方正仿宋_GBK"/>
          <w:sz w:val="32"/>
          <w:szCs w:val="32"/>
        </w:rPr>
      </w:pPr>
      <w:r>
        <w:rPr>
          <w:rFonts w:eastAsia="方正仿宋_GBK"/>
          <w:sz w:val="32"/>
          <w:szCs w:val="32"/>
        </w:rPr>
        <w:t>表11、</w:t>
      </w:r>
      <w:r>
        <w:rPr>
          <w:rFonts w:hint="eastAsia" w:eastAsia="方正仿宋_GBK"/>
          <w:sz w:val="32"/>
          <w:szCs w:val="32"/>
        </w:rPr>
        <w:t>2025年</w:t>
      </w:r>
      <w:r>
        <w:rPr>
          <w:rFonts w:hint="eastAsia" w:ascii="方正仿宋_GBK" w:hAnsi="方正仿宋_GBK" w:eastAsia="方正仿宋_GBK" w:cs="方正仿宋_GBK"/>
          <w:sz w:val="32"/>
          <w:szCs w:val="32"/>
          <w:u w:color="000000"/>
        </w:rPr>
        <w:t>重庆市开州区农民科技教育培训中心</w:t>
      </w:r>
      <w:r>
        <w:rPr>
          <w:rFonts w:eastAsia="方正仿宋_GBK"/>
          <w:sz w:val="32"/>
          <w:szCs w:val="32"/>
        </w:rPr>
        <w:t>项目绩效目标表</w:t>
      </w:r>
    </w:p>
    <w:p w14:paraId="72C70C5D">
      <w:pPr>
        <w:adjustRightInd w:val="0"/>
        <w:snapToGrid w:val="0"/>
        <w:spacing w:line="594" w:lineRule="exact"/>
        <w:ind w:left="960" w:hanging="960" w:hangingChars="300"/>
        <w:rPr>
          <w:rFonts w:eastAsia="方正仿宋_GBK"/>
          <w:sz w:val="32"/>
          <w:szCs w:val="32"/>
        </w:rPr>
      </w:pPr>
    </w:p>
    <w:p w14:paraId="10B43C4D">
      <w:pPr>
        <w:adjustRightInd w:val="0"/>
        <w:snapToGrid w:val="0"/>
        <w:spacing w:line="594" w:lineRule="exact"/>
      </w:pPr>
    </w:p>
    <w:p w14:paraId="1F7A3A82">
      <w:pPr>
        <w:adjustRightInd w:val="0"/>
        <w:snapToGrid w:val="0"/>
        <w:spacing w:line="594" w:lineRule="exact"/>
      </w:pPr>
    </w:p>
    <w:p w14:paraId="03EED4AC">
      <w:pPr>
        <w:adjustRightInd w:val="0"/>
        <w:snapToGrid w:val="0"/>
        <w:spacing w:line="594" w:lineRule="exact"/>
      </w:pPr>
    </w:p>
    <w:p w14:paraId="3BC9A61E">
      <w:pPr>
        <w:adjustRightInd w:val="0"/>
        <w:snapToGrid w:val="0"/>
        <w:spacing w:line="594" w:lineRule="exact"/>
      </w:pPr>
    </w:p>
    <w:p w14:paraId="3FCAAB32">
      <w:pPr>
        <w:adjustRightInd w:val="0"/>
        <w:snapToGrid w:val="0"/>
        <w:spacing w:line="594" w:lineRule="exact"/>
      </w:pPr>
    </w:p>
    <w:p w14:paraId="356A22A0">
      <w:pPr>
        <w:adjustRightInd w:val="0"/>
        <w:snapToGrid w:val="0"/>
        <w:spacing w:line="594" w:lineRule="exact"/>
        <w:jc w:val="center"/>
        <w:rPr>
          <w:rFonts w:eastAsia="方正小标宋_GBK"/>
          <w:sz w:val="44"/>
          <w:szCs w:val="44"/>
        </w:rPr>
      </w:pPr>
      <w:r>
        <w:rPr>
          <w:rFonts w:eastAsia="方正小标宋_GBK"/>
          <w:sz w:val="44"/>
          <w:szCs w:val="44"/>
        </w:rPr>
        <w:br w:type="page"/>
      </w:r>
      <w:r>
        <w:rPr>
          <w:rFonts w:hint="eastAsia" w:eastAsia="方正小标宋_GBK"/>
          <w:sz w:val="44"/>
          <w:szCs w:val="44"/>
        </w:rPr>
        <w:t>第一部分：2025年部门预算情况说明</w:t>
      </w:r>
    </w:p>
    <w:p w14:paraId="41046395">
      <w:pPr>
        <w:adjustRightInd w:val="0"/>
        <w:snapToGrid w:val="0"/>
        <w:spacing w:line="594" w:lineRule="exact"/>
        <w:ind w:firstLine="880" w:firstLineChars="200"/>
        <w:jc w:val="center"/>
        <w:rPr>
          <w:rFonts w:eastAsia="华文中宋"/>
          <w:sz w:val="44"/>
          <w:szCs w:val="44"/>
        </w:rPr>
      </w:pPr>
    </w:p>
    <w:p w14:paraId="5C8B21E6">
      <w:pPr>
        <w:adjustRightInd w:val="0"/>
        <w:snapToGrid w:val="0"/>
        <w:spacing w:line="594" w:lineRule="exact"/>
        <w:ind w:left="640"/>
        <w:rPr>
          <w:rFonts w:eastAsia="方正黑体_GBK"/>
          <w:sz w:val="32"/>
        </w:rPr>
      </w:pPr>
      <w:r>
        <w:rPr>
          <w:rFonts w:eastAsia="方正黑体_GBK"/>
          <w:sz w:val="32"/>
        </w:rPr>
        <w:t>一、单位基本情况</w:t>
      </w:r>
    </w:p>
    <w:p w14:paraId="0F95D4E4">
      <w:pPr>
        <w:adjustRightInd w:val="0"/>
        <w:snapToGrid w:val="0"/>
        <w:spacing w:line="594" w:lineRule="exact"/>
        <w:ind w:firstLine="640" w:firstLineChars="200"/>
        <w:rPr>
          <w:rFonts w:ascii="方正楷体_GBK" w:eastAsia="方正楷体_GBK"/>
          <w:sz w:val="32"/>
        </w:rPr>
      </w:pPr>
      <w:r>
        <w:rPr>
          <w:rFonts w:hint="eastAsia" w:ascii="方正楷体_GBK" w:eastAsia="方正楷体_GBK"/>
          <w:sz w:val="32"/>
        </w:rPr>
        <w:t>（一）职能职责</w:t>
      </w:r>
    </w:p>
    <w:p w14:paraId="558BA9D9">
      <w:pPr>
        <w:pStyle w:val="7"/>
        <w:tabs>
          <w:tab w:val="center" w:pos="4153"/>
          <w:tab w:val="left" w:pos="7275"/>
        </w:tabs>
        <w:adjustRightInd w:val="0"/>
        <w:snapToGrid w:val="0"/>
        <w:spacing w:line="594" w:lineRule="exact"/>
        <w:ind w:firstLine="640"/>
        <w:jc w:val="left"/>
        <w:rPr>
          <w:rFonts w:ascii="Times New Roman" w:hAnsi="Times New Roman" w:eastAsia="方正仿宋_GBK"/>
          <w:spacing w:val="-4"/>
          <w:sz w:val="32"/>
          <w:szCs w:val="32"/>
        </w:rPr>
      </w:pPr>
      <w:r>
        <w:rPr>
          <w:rFonts w:hint="eastAsia" w:ascii="方正仿宋_GBK" w:hAnsi="方正仿宋_GBK" w:eastAsia="方正仿宋_GBK" w:cs="方正仿宋_GBK"/>
          <w:sz w:val="32"/>
          <w:szCs w:val="32"/>
          <w:u w:color="000000"/>
        </w:rPr>
        <w:t>重庆市开州区农民科技教育培训中心</w:t>
      </w:r>
      <w:r>
        <w:rPr>
          <w:rFonts w:hint="eastAsia" w:ascii="方正仿宋_GBK" w:hAnsi="仿宋_GB2312" w:eastAsia="方正仿宋_GBK" w:cs="仿宋_GB2312"/>
          <w:sz w:val="32"/>
        </w:rPr>
        <w:t>为重庆市开州区农业农村委员会管理的事业单位，主要职能是：</w:t>
      </w:r>
      <w:r>
        <w:rPr>
          <w:rFonts w:ascii="Times New Roman" w:hAnsi="Times New Roman" w:eastAsia="方正仿宋_GBK"/>
          <w:sz w:val="32"/>
          <w:szCs w:val="32"/>
        </w:rPr>
        <w:t>宣传党和国家有关农业科技教育的路线方针政策和法律法规</w:t>
      </w:r>
      <w:r>
        <w:rPr>
          <w:rFonts w:hint="eastAsia" w:ascii="方正仿宋_GBK" w:hAnsi="仿宋_GB2312" w:eastAsia="方正仿宋_GBK" w:cs="仿宋_GB2312"/>
          <w:sz w:val="32"/>
        </w:rPr>
        <w:t>；</w:t>
      </w:r>
      <w:r>
        <w:rPr>
          <w:rFonts w:ascii="Times New Roman" w:hAnsi="Times New Roman" w:eastAsia="方正仿宋_GBK"/>
          <w:sz w:val="32"/>
          <w:szCs w:val="32"/>
        </w:rPr>
        <w:t>开展各类农业实用技术培训，培养农村实用技术人才。统筹各类资源，合作开展农民中等职业教育和高等教育工作</w:t>
      </w:r>
      <w:r>
        <w:rPr>
          <w:rFonts w:hint="eastAsia" w:ascii="方正仿宋_GBK" w:hAnsi="仿宋_GB2312" w:eastAsia="方正仿宋_GBK" w:cs="仿宋_GB2312"/>
          <w:sz w:val="32"/>
        </w:rPr>
        <w:t>；</w:t>
      </w:r>
      <w:r>
        <w:rPr>
          <w:rFonts w:ascii="Times New Roman" w:hAnsi="Times New Roman" w:eastAsia="方正仿宋_GBK"/>
          <w:sz w:val="32"/>
          <w:szCs w:val="32"/>
        </w:rPr>
        <w:t>负责上级下达的各种涉农项目培训、基层农技干部继续教育培训</w:t>
      </w:r>
      <w:r>
        <w:rPr>
          <w:rFonts w:hint="eastAsia" w:ascii="Times New Roman" w:hAnsi="Times New Roman" w:eastAsia="方正仿宋_GBK"/>
          <w:sz w:val="32"/>
          <w:szCs w:val="32"/>
        </w:rPr>
        <w:t>；</w:t>
      </w:r>
      <w:r>
        <w:rPr>
          <w:rFonts w:ascii="Times New Roman" w:hAnsi="Times New Roman" w:eastAsia="方正仿宋_GBK"/>
          <w:sz w:val="32"/>
          <w:szCs w:val="32"/>
        </w:rPr>
        <w:t>负责</w:t>
      </w:r>
      <w:r>
        <w:rPr>
          <w:rFonts w:ascii="Times New Roman" w:hAnsi="Times New Roman" w:eastAsia="方正仿宋_GBK"/>
          <w:spacing w:val="-4"/>
          <w:sz w:val="32"/>
          <w:szCs w:val="32"/>
        </w:rPr>
        <w:t>开展高素质农民数据信息统计监测、农民技术人员职称评定，协助开展147号站职业技能鉴定，指导农民体育等工作。</w:t>
      </w:r>
    </w:p>
    <w:p w14:paraId="6F0AD698">
      <w:pPr>
        <w:pStyle w:val="7"/>
        <w:tabs>
          <w:tab w:val="center" w:pos="4153"/>
          <w:tab w:val="left" w:pos="7275"/>
        </w:tabs>
        <w:adjustRightInd w:val="0"/>
        <w:snapToGrid w:val="0"/>
        <w:spacing w:line="594" w:lineRule="exact"/>
        <w:ind w:firstLine="640"/>
        <w:jc w:val="left"/>
        <w:rPr>
          <w:rFonts w:ascii="方正楷体_GBK" w:hAnsi="Times New Roman" w:eastAsia="方正楷体_GBK"/>
          <w:sz w:val="32"/>
        </w:rPr>
      </w:pPr>
      <w:r>
        <w:rPr>
          <w:rFonts w:hint="eastAsia" w:ascii="方正楷体_GBK" w:hAnsi="Times New Roman" w:eastAsia="方正楷体_GBK"/>
          <w:sz w:val="32"/>
        </w:rPr>
        <w:t>（二）单位构成</w:t>
      </w:r>
    </w:p>
    <w:p w14:paraId="53226800">
      <w:pPr>
        <w:spacing w:line="600" w:lineRule="exact"/>
        <w:ind w:firstLine="640" w:firstLineChars="200"/>
        <w:rPr>
          <w:rFonts w:eastAsia="方正仿宋_GBK"/>
          <w:sz w:val="32"/>
        </w:rPr>
      </w:pPr>
      <w:r>
        <w:rPr>
          <w:rFonts w:hint="eastAsia" w:ascii="方正仿宋_GBK" w:hAnsi="方正仿宋_GBK" w:eastAsia="方正仿宋_GBK" w:cs="方正仿宋_GBK"/>
          <w:sz w:val="32"/>
          <w:szCs w:val="32"/>
          <w:u w:color="000000"/>
        </w:rPr>
        <w:t>重庆市开州区农民科技教育培训中心无</w:t>
      </w:r>
      <w:r>
        <w:rPr>
          <w:rFonts w:hint="eastAsia" w:ascii="方正仿宋_GBK" w:hAnsi="仿宋_GB2312" w:eastAsia="方正仿宋_GBK" w:cs="仿宋_GB2312"/>
          <w:sz w:val="32"/>
        </w:rPr>
        <w:t>内设机构。</w:t>
      </w:r>
    </w:p>
    <w:p w14:paraId="663EDE1B">
      <w:pPr>
        <w:adjustRightInd w:val="0"/>
        <w:snapToGrid w:val="0"/>
        <w:spacing w:line="594" w:lineRule="exact"/>
        <w:ind w:left="640"/>
        <w:rPr>
          <w:rFonts w:eastAsia="方正仿宋_GBK"/>
          <w:sz w:val="32"/>
        </w:rPr>
      </w:pPr>
      <w:r>
        <w:rPr>
          <w:rFonts w:eastAsia="方正黑体_GBK"/>
          <w:sz w:val="32"/>
        </w:rPr>
        <w:t>二、部门收支总体情况</w:t>
      </w:r>
    </w:p>
    <w:p w14:paraId="7AA3F3EF">
      <w:pPr>
        <w:adjustRightInd w:val="0"/>
        <w:snapToGrid w:val="0"/>
        <w:spacing w:line="594" w:lineRule="exact"/>
        <w:ind w:firstLine="640" w:firstLineChars="200"/>
        <w:rPr>
          <w:rFonts w:eastAsia="方正仿宋_GBK"/>
          <w:sz w:val="32"/>
        </w:rPr>
      </w:pPr>
      <w:r>
        <w:rPr>
          <w:rFonts w:hint="eastAsia" w:ascii="方正楷体_GBK" w:eastAsia="方正楷体_GBK"/>
          <w:sz w:val="32"/>
        </w:rPr>
        <w:t>（一）收入预算：</w:t>
      </w:r>
      <w:r>
        <w:rPr>
          <w:rFonts w:hint="eastAsia" w:eastAsia="方正仿宋_GBK"/>
          <w:sz w:val="32"/>
        </w:rPr>
        <w:t>2025</w:t>
      </w:r>
      <w:r>
        <w:rPr>
          <w:rFonts w:eastAsia="方正仿宋_GBK"/>
          <w:sz w:val="32"/>
        </w:rPr>
        <w:t>年年初预算数</w:t>
      </w:r>
      <w:r>
        <w:rPr>
          <w:rFonts w:hint="eastAsia" w:eastAsia="方正仿宋_GBK"/>
          <w:sz w:val="32"/>
        </w:rPr>
        <w:t>170.54</w:t>
      </w:r>
      <w:r>
        <w:rPr>
          <w:rFonts w:eastAsia="方正仿宋_GBK"/>
          <w:sz w:val="32"/>
        </w:rPr>
        <w:t>万元</w:t>
      </w:r>
      <w:r>
        <w:rPr>
          <w:rFonts w:hint="eastAsia" w:eastAsia="方正仿宋_GBK"/>
          <w:sz w:val="32"/>
        </w:rPr>
        <w:t>，</w:t>
      </w:r>
      <w:r>
        <w:rPr>
          <w:rFonts w:eastAsia="方正仿宋_GBK"/>
          <w:sz w:val="32"/>
        </w:rPr>
        <w:t>上年结转</w:t>
      </w:r>
      <w:r>
        <w:rPr>
          <w:rFonts w:hint="eastAsia" w:eastAsia="方正仿宋_GBK"/>
          <w:sz w:val="32"/>
        </w:rPr>
        <w:t>0</w:t>
      </w:r>
      <w:r>
        <w:rPr>
          <w:rFonts w:eastAsia="方正仿宋_GBK"/>
          <w:sz w:val="32"/>
        </w:rPr>
        <w:t>万元，其中：一般公共预算拨款</w:t>
      </w:r>
      <w:r>
        <w:rPr>
          <w:rFonts w:hint="eastAsia" w:eastAsia="方正仿宋_GBK"/>
          <w:sz w:val="32"/>
        </w:rPr>
        <w:t>170.54</w:t>
      </w:r>
      <w:r>
        <w:rPr>
          <w:rFonts w:eastAsia="方正仿宋_GBK"/>
          <w:sz w:val="32"/>
        </w:rPr>
        <w:t>万元</w:t>
      </w:r>
      <w:r>
        <w:rPr>
          <w:rFonts w:hint="eastAsia" w:eastAsia="方正仿宋_GBK"/>
          <w:sz w:val="32"/>
        </w:rPr>
        <w:t>，</w:t>
      </w:r>
      <w:r>
        <w:rPr>
          <w:rFonts w:eastAsia="方正仿宋_GBK"/>
          <w:sz w:val="32"/>
        </w:rPr>
        <w:t>上年结转</w:t>
      </w:r>
      <w:r>
        <w:rPr>
          <w:rFonts w:hint="eastAsia" w:eastAsia="方正仿宋_GBK"/>
          <w:sz w:val="32"/>
        </w:rPr>
        <w:t>0</w:t>
      </w:r>
      <w:r>
        <w:rPr>
          <w:rFonts w:eastAsia="方正仿宋_GBK"/>
          <w:sz w:val="32"/>
        </w:rPr>
        <w:t>万元，政府性基金预算拨款</w:t>
      </w:r>
      <w:r>
        <w:rPr>
          <w:rFonts w:hint="eastAsia" w:eastAsia="方正仿宋_GBK"/>
          <w:sz w:val="32"/>
        </w:rPr>
        <w:t>0</w:t>
      </w:r>
      <w:r>
        <w:rPr>
          <w:rFonts w:eastAsia="方正仿宋_GBK"/>
          <w:sz w:val="32"/>
        </w:rPr>
        <w:t>万元</w:t>
      </w:r>
      <w:r>
        <w:rPr>
          <w:rFonts w:hint="eastAsia" w:eastAsia="方正仿宋_GBK"/>
          <w:sz w:val="32"/>
        </w:rPr>
        <w:t>，</w:t>
      </w:r>
      <w:r>
        <w:rPr>
          <w:rFonts w:eastAsia="方正仿宋_GBK"/>
          <w:sz w:val="32"/>
        </w:rPr>
        <w:t>上年结转</w:t>
      </w:r>
      <w:r>
        <w:rPr>
          <w:rFonts w:hint="eastAsia" w:eastAsia="方正仿宋_GBK"/>
          <w:sz w:val="32"/>
        </w:rPr>
        <w:t>0</w:t>
      </w:r>
      <w:r>
        <w:rPr>
          <w:rFonts w:eastAsia="方正仿宋_GBK"/>
          <w:sz w:val="32"/>
        </w:rPr>
        <w:t>万元，国有资本经营预算收入</w:t>
      </w:r>
      <w:r>
        <w:rPr>
          <w:rFonts w:hint="eastAsia" w:eastAsia="方正仿宋_GBK"/>
          <w:sz w:val="32"/>
        </w:rPr>
        <w:t>0</w:t>
      </w:r>
      <w:r>
        <w:rPr>
          <w:rFonts w:eastAsia="方正仿宋_GBK"/>
          <w:sz w:val="32"/>
        </w:rPr>
        <w:t>万元</w:t>
      </w:r>
      <w:r>
        <w:rPr>
          <w:rFonts w:hint="eastAsia" w:eastAsia="方正仿宋_GBK"/>
          <w:sz w:val="32"/>
        </w:rPr>
        <w:t>，</w:t>
      </w:r>
      <w:r>
        <w:rPr>
          <w:rFonts w:eastAsia="方正仿宋_GBK"/>
          <w:sz w:val="32"/>
        </w:rPr>
        <w:t>上年结转</w:t>
      </w:r>
      <w:r>
        <w:rPr>
          <w:rFonts w:hint="eastAsia" w:eastAsia="方正仿宋_GBK"/>
          <w:sz w:val="32"/>
        </w:rPr>
        <w:t>0</w:t>
      </w:r>
      <w:r>
        <w:rPr>
          <w:rFonts w:eastAsia="方正仿宋_GBK"/>
          <w:sz w:val="32"/>
        </w:rPr>
        <w:t>万元，事业收入</w:t>
      </w:r>
      <w:r>
        <w:rPr>
          <w:rFonts w:hint="eastAsia" w:eastAsia="方正仿宋_GBK"/>
          <w:sz w:val="32"/>
        </w:rPr>
        <w:t>0</w:t>
      </w:r>
      <w:r>
        <w:rPr>
          <w:rFonts w:eastAsia="方正仿宋_GBK"/>
          <w:sz w:val="32"/>
        </w:rPr>
        <w:t>万元，事业单位经营收入</w:t>
      </w:r>
      <w:r>
        <w:rPr>
          <w:rFonts w:hint="eastAsia" w:eastAsia="方正仿宋_GBK"/>
          <w:sz w:val="32"/>
        </w:rPr>
        <w:t>0</w:t>
      </w:r>
      <w:r>
        <w:rPr>
          <w:rFonts w:eastAsia="方正仿宋_GBK"/>
          <w:sz w:val="32"/>
        </w:rPr>
        <w:t>万元，其他收入</w:t>
      </w:r>
      <w:r>
        <w:rPr>
          <w:rFonts w:hint="eastAsia" w:eastAsia="方正仿宋_GBK"/>
          <w:sz w:val="32"/>
        </w:rPr>
        <w:t>0</w:t>
      </w:r>
      <w:r>
        <w:rPr>
          <w:rFonts w:eastAsia="方正仿宋_GBK"/>
          <w:sz w:val="32"/>
        </w:rPr>
        <w:t>万元。收入较</w:t>
      </w:r>
      <w:r>
        <w:rPr>
          <w:rFonts w:hint="eastAsia" w:eastAsia="方正仿宋_GBK"/>
          <w:sz w:val="32"/>
        </w:rPr>
        <w:t>2024</w:t>
      </w:r>
      <w:r>
        <w:rPr>
          <w:rFonts w:eastAsia="方正仿宋_GBK"/>
          <w:sz w:val="32"/>
        </w:rPr>
        <w:t>年</w:t>
      </w:r>
      <w:r>
        <w:rPr>
          <w:rFonts w:hint="eastAsia" w:eastAsia="方正仿宋_GBK"/>
          <w:sz w:val="32"/>
        </w:rPr>
        <w:t>增加40.71</w:t>
      </w:r>
      <w:r>
        <w:rPr>
          <w:rFonts w:eastAsia="方正仿宋_GBK"/>
          <w:sz w:val="32"/>
        </w:rPr>
        <w:t>万元，主要是</w:t>
      </w:r>
      <w:r>
        <w:rPr>
          <w:rFonts w:hint="eastAsia" w:eastAsia="方正仿宋_GBK"/>
          <w:sz w:val="32"/>
          <w:lang w:val="en-US" w:eastAsia="zh-CN"/>
        </w:rPr>
        <w:t>人员及公用经费</w:t>
      </w:r>
      <w:r>
        <w:rPr>
          <w:rFonts w:hint="eastAsia" w:eastAsia="方正仿宋_GBK"/>
          <w:sz w:val="32"/>
        </w:rPr>
        <w:t>增加40.71</w:t>
      </w:r>
      <w:r>
        <w:rPr>
          <w:rFonts w:eastAsia="方正仿宋_GBK"/>
          <w:sz w:val="32"/>
        </w:rPr>
        <w:t>万元。</w:t>
      </w:r>
    </w:p>
    <w:p w14:paraId="617264B4">
      <w:pPr>
        <w:adjustRightInd w:val="0"/>
        <w:snapToGrid w:val="0"/>
        <w:spacing w:line="594" w:lineRule="exact"/>
        <w:ind w:firstLine="640" w:firstLineChars="200"/>
        <w:rPr>
          <w:rFonts w:eastAsia="方正仿宋_GBK"/>
          <w:sz w:val="32"/>
        </w:rPr>
      </w:pPr>
      <w:r>
        <w:rPr>
          <w:rFonts w:hint="eastAsia" w:ascii="方正楷体_GBK" w:eastAsia="方正楷体_GBK"/>
          <w:sz w:val="32"/>
        </w:rPr>
        <w:t>（二）支出预算：</w:t>
      </w:r>
      <w:r>
        <w:rPr>
          <w:rFonts w:hint="eastAsia" w:eastAsia="方正仿宋_GBK"/>
          <w:sz w:val="32"/>
        </w:rPr>
        <w:t>2025</w:t>
      </w:r>
      <w:r>
        <w:rPr>
          <w:rFonts w:eastAsia="方正仿宋_GBK"/>
          <w:sz w:val="32"/>
        </w:rPr>
        <w:t>年年初预算数</w:t>
      </w:r>
      <w:r>
        <w:rPr>
          <w:rFonts w:hint="eastAsia" w:eastAsia="方正仿宋_GBK"/>
          <w:sz w:val="32"/>
        </w:rPr>
        <w:t>170.54</w:t>
      </w:r>
      <w:r>
        <w:rPr>
          <w:rFonts w:eastAsia="方正仿宋_GBK"/>
          <w:sz w:val="32"/>
        </w:rPr>
        <w:t>万元，其中：一般公共服务支出预算</w:t>
      </w:r>
      <w:r>
        <w:rPr>
          <w:rFonts w:hint="eastAsia" w:eastAsia="方正仿宋_GBK"/>
          <w:sz w:val="32"/>
        </w:rPr>
        <w:t>0</w:t>
      </w:r>
      <w:r>
        <w:rPr>
          <w:rFonts w:eastAsia="方正仿宋_GBK"/>
          <w:sz w:val="32"/>
        </w:rPr>
        <w:t>万元，教育支出预算</w:t>
      </w:r>
      <w:r>
        <w:rPr>
          <w:rFonts w:hint="eastAsia" w:eastAsia="方正仿宋_GBK"/>
          <w:sz w:val="32"/>
        </w:rPr>
        <w:t>0</w:t>
      </w:r>
      <w:r>
        <w:rPr>
          <w:rFonts w:eastAsia="方正仿宋_GBK"/>
          <w:sz w:val="32"/>
        </w:rPr>
        <w:t>万元，社会保障和就业支出预算</w:t>
      </w:r>
      <w:r>
        <w:rPr>
          <w:rFonts w:hint="eastAsia" w:eastAsia="方正仿宋_GBK"/>
          <w:sz w:val="32"/>
        </w:rPr>
        <w:t>50.21</w:t>
      </w:r>
      <w:r>
        <w:rPr>
          <w:rFonts w:eastAsia="方正仿宋_GBK"/>
          <w:sz w:val="32"/>
        </w:rPr>
        <w:t>万元，卫生健康支出预算</w:t>
      </w:r>
      <w:r>
        <w:rPr>
          <w:rFonts w:hint="eastAsia" w:eastAsia="方正仿宋_GBK"/>
          <w:sz w:val="32"/>
        </w:rPr>
        <w:t>9.25</w:t>
      </w:r>
      <w:r>
        <w:rPr>
          <w:rFonts w:eastAsia="方正仿宋_GBK"/>
          <w:sz w:val="32"/>
        </w:rPr>
        <w:t>万元，住房保障支出预算</w:t>
      </w:r>
      <w:r>
        <w:rPr>
          <w:rFonts w:hint="eastAsia" w:eastAsia="方正仿宋_GBK"/>
          <w:sz w:val="32"/>
        </w:rPr>
        <w:t>6.97</w:t>
      </w:r>
      <w:r>
        <w:rPr>
          <w:rFonts w:eastAsia="方正仿宋_GBK"/>
          <w:sz w:val="32"/>
        </w:rPr>
        <w:t>万元</w:t>
      </w:r>
      <w:r>
        <w:rPr>
          <w:rFonts w:hint="eastAsia" w:eastAsia="方正仿宋_GBK"/>
          <w:sz w:val="32"/>
        </w:rPr>
        <w:t>，农林水支出104.11</w:t>
      </w:r>
      <w:r>
        <w:rPr>
          <w:rFonts w:eastAsia="方正仿宋_GBK"/>
          <w:sz w:val="32"/>
        </w:rPr>
        <w:t>。支出预算较</w:t>
      </w:r>
      <w:r>
        <w:rPr>
          <w:rFonts w:hint="eastAsia" w:eastAsia="方正仿宋_GBK"/>
          <w:sz w:val="32"/>
        </w:rPr>
        <w:t>2024</w:t>
      </w:r>
      <w:r>
        <w:rPr>
          <w:rFonts w:eastAsia="方正仿宋_GBK"/>
          <w:sz w:val="32"/>
        </w:rPr>
        <w:t>年</w:t>
      </w:r>
      <w:r>
        <w:rPr>
          <w:rFonts w:hint="eastAsia" w:eastAsia="方正仿宋_GBK"/>
          <w:sz w:val="32"/>
        </w:rPr>
        <w:t>增加40.71</w:t>
      </w:r>
      <w:r>
        <w:rPr>
          <w:rFonts w:eastAsia="方正仿宋_GBK"/>
          <w:sz w:val="32"/>
        </w:rPr>
        <w:t>万元，主要是基本支出预算</w:t>
      </w:r>
      <w:r>
        <w:rPr>
          <w:rFonts w:hint="eastAsia" w:eastAsia="方正仿宋_GBK"/>
          <w:sz w:val="32"/>
        </w:rPr>
        <w:t>增加40.71</w:t>
      </w:r>
      <w:r>
        <w:rPr>
          <w:rFonts w:eastAsia="方正仿宋_GBK"/>
          <w:sz w:val="32"/>
        </w:rPr>
        <w:t>万元。</w:t>
      </w:r>
    </w:p>
    <w:p w14:paraId="4C8BEA47">
      <w:pPr>
        <w:adjustRightInd w:val="0"/>
        <w:snapToGrid w:val="0"/>
        <w:spacing w:line="594" w:lineRule="exact"/>
        <w:ind w:left="640"/>
        <w:rPr>
          <w:rFonts w:eastAsia="方正黑体_GBK"/>
          <w:sz w:val="32"/>
        </w:rPr>
      </w:pPr>
      <w:r>
        <w:rPr>
          <w:rFonts w:eastAsia="方正黑体_GBK"/>
          <w:sz w:val="32"/>
        </w:rPr>
        <w:t>三、部门预算情况说明</w:t>
      </w:r>
    </w:p>
    <w:p w14:paraId="3E8B1209">
      <w:pPr>
        <w:adjustRightInd w:val="0"/>
        <w:snapToGrid w:val="0"/>
        <w:spacing w:line="594" w:lineRule="exact"/>
        <w:ind w:firstLine="640" w:firstLineChars="200"/>
        <w:rPr>
          <w:rFonts w:eastAsia="方正仿宋_GBK"/>
          <w:sz w:val="32"/>
        </w:rPr>
      </w:pPr>
      <w:r>
        <w:rPr>
          <w:rFonts w:hint="eastAsia" w:eastAsia="方正仿宋_GBK"/>
          <w:sz w:val="32"/>
        </w:rPr>
        <w:t>2025</w:t>
      </w:r>
      <w:r>
        <w:rPr>
          <w:rFonts w:eastAsia="方正仿宋_GBK"/>
          <w:sz w:val="32"/>
        </w:rPr>
        <w:t>年一般公共预算财政拨款收入</w:t>
      </w:r>
      <w:r>
        <w:rPr>
          <w:rFonts w:hint="eastAsia" w:eastAsia="方正仿宋_GBK"/>
          <w:sz w:val="32"/>
        </w:rPr>
        <w:t>170.54</w:t>
      </w:r>
      <w:r>
        <w:rPr>
          <w:rFonts w:eastAsia="方正仿宋_GBK"/>
          <w:sz w:val="32"/>
        </w:rPr>
        <w:t>万元，一般公共预算财政拨款支出</w:t>
      </w:r>
      <w:r>
        <w:rPr>
          <w:rFonts w:hint="eastAsia" w:eastAsia="方正仿宋_GBK"/>
          <w:sz w:val="32"/>
        </w:rPr>
        <w:t>170.</w:t>
      </w:r>
      <w:r>
        <w:rPr>
          <w:rFonts w:hint="eastAsia" w:eastAsia="方正仿宋_GBK"/>
          <w:sz w:val="32"/>
          <w:lang w:val="en-US" w:eastAsia="zh-CN"/>
        </w:rPr>
        <w:t>5</w:t>
      </w:r>
      <w:r>
        <w:rPr>
          <w:rFonts w:hint="eastAsia" w:eastAsia="方正仿宋_GBK"/>
          <w:sz w:val="32"/>
        </w:rPr>
        <w:t>4</w:t>
      </w:r>
      <w:r>
        <w:rPr>
          <w:rFonts w:eastAsia="方正仿宋_GBK"/>
          <w:sz w:val="32"/>
        </w:rPr>
        <w:t>万元，比</w:t>
      </w:r>
      <w:r>
        <w:rPr>
          <w:rFonts w:hint="eastAsia" w:eastAsia="方正仿宋_GBK"/>
          <w:sz w:val="32"/>
        </w:rPr>
        <w:t>2024</w:t>
      </w:r>
      <w:r>
        <w:rPr>
          <w:rFonts w:eastAsia="方正仿宋_GBK"/>
          <w:sz w:val="32"/>
        </w:rPr>
        <w:t>年增加</w:t>
      </w:r>
      <w:r>
        <w:rPr>
          <w:rFonts w:hint="eastAsia" w:eastAsia="方正仿宋_GBK"/>
          <w:sz w:val="32"/>
        </w:rPr>
        <w:t>40.71</w:t>
      </w:r>
      <w:r>
        <w:rPr>
          <w:rFonts w:eastAsia="方正仿宋_GBK"/>
          <w:sz w:val="32"/>
        </w:rPr>
        <w:t>万元。其中：基本支出</w:t>
      </w:r>
      <w:r>
        <w:rPr>
          <w:rFonts w:hint="eastAsia" w:eastAsia="方正仿宋_GBK"/>
          <w:sz w:val="32"/>
        </w:rPr>
        <w:t>170.54</w:t>
      </w:r>
      <w:r>
        <w:rPr>
          <w:rFonts w:eastAsia="方正仿宋_GBK"/>
          <w:sz w:val="32"/>
        </w:rPr>
        <w:t>万元，比</w:t>
      </w:r>
      <w:r>
        <w:rPr>
          <w:rFonts w:hint="eastAsia" w:eastAsia="方正仿宋_GBK"/>
          <w:sz w:val="32"/>
        </w:rPr>
        <w:t>2024</w:t>
      </w:r>
      <w:r>
        <w:rPr>
          <w:rFonts w:eastAsia="方正仿宋_GBK"/>
          <w:sz w:val="32"/>
        </w:rPr>
        <w:t>年增加</w:t>
      </w:r>
      <w:r>
        <w:rPr>
          <w:rFonts w:hint="eastAsia" w:eastAsia="方正仿宋_GBK"/>
          <w:sz w:val="32"/>
        </w:rPr>
        <w:t>40.71</w:t>
      </w:r>
      <w:r>
        <w:rPr>
          <w:rFonts w:eastAsia="方正仿宋_GBK"/>
          <w:sz w:val="32"/>
        </w:rPr>
        <w:t>万元，主要原因是</w:t>
      </w:r>
      <w:r>
        <w:rPr>
          <w:rFonts w:hint="eastAsia" w:eastAsia="方正仿宋_GBK"/>
          <w:sz w:val="32"/>
        </w:rPr>
        <w:t>在职人员较2024年增加，基本支出随之增加</w:t>
      </w:r>
      <w:r>
        <w:rPr>
          <w:rFonts w:eastAsia="方正仿宋_GBK"/>
          <w:sz w:val="32"/>
        </w:rPr>
        <w:t>，主要用于保障在职人员工资福利及社会保险缴费，离休人员离休费，退休人员补助等，保障部门正常运转的各项商品服务支出；项目支出</w:t>
      </w:r>
      <w:r>
        <w:rPr>
          <w:rFonts w:hint="eastAsia" w:eastAsia="方正仿宋_GBK"/>
          <w:sz w:val="32"/>
        </w:rPr>
        <w:t>0</w:t>
      </w:r>
      <w:r>
        <w:rPr>
          <w:rFonts w:eastAsia="方正仿宋_GBK"/>
          <w:sz w:val="32"/>
        </w:rPr>
        <w:t>万元，</w:t>
      </w:r>
      <w:r>
        <w:rPr>
          <w:rFonts w:hint="eastAsia" w:eastAsia="方正仿宋_GBK"/>
          <w:sz w:val="32"/>
        </w:rPr>
        <w:t>与2024</w:t>
      </w:r>
      <w:r>
        <w:rPr>
          <w:rFonts w:eastAsia="方正仿宋_GBK"/>
          <w:sz w:val="32"/>
        </w:rPr>
        <w:t>年</w:t>
      </w:r>
      <w:r>
        <w:rPr>
          <w:rFonts w:hint="eastAsia" w:eastAsia="方正仿宋_GBK"/>
          <w:sz w:val="32"/>
        </w:rPr>
        <w:t>持平</w:t>
      </w:r>
      <w:r>
        <w:rPr>
          <w:rFonts w:eastAsia="方正仿宋_GBK"/>
          <w:sz w:val="32"/>
        </w:rPr>
        <w:t>。</w:t>
      </w:r>
    </w:p>
    <w:p w14:paraId="578E4D99">
      <w:pPr>
        <w:adjustRightInd w:val="0"/>
        <w:snapToGrid w:val="0"/>
        <w:spacing w:line="594" w:lineRule="exact"/>
        <w:ind w:firstLine="640" w:firstLineChars="200"/>
        <w:rPr>
          <w:rFonts w:eastAsia="方正仿宋_GBK"/>
          <w:sz w:val="32"/>
        </w:rPr>
      </w:pPr>
      <w:r>
        <w:rPr>
          <w:rFonts w:hint="eastAsia" w:eastAsia="方正仿宋_GBK"/>
          <w:sz w:val="32"/>
        </w:rPr>
        <w:t>重庆市开州区农民科技教育培训中心2025</w:t>
      </w:r>
      <w:r>
        <w:rPr>
          <w:rFonts w:eastAsia="方正仿宋_GBK"/>
          <w:sz w:val="32"/>
        </w:rPr>
        <w:t>年无使用政府性基金预算拨款安排的支出</w:t>
      </w:r>
      <w:r>
        <w:rPr>
          <w:rFonts w:hint="eastAsia" w:eastAsia="方正仿宋_GBK"/>
          <w:sz w:val="32"/>
        </w:rPr>
        <w:t>。</w:t>
      </w:r>
    </w:p>
    <w:p w14:paraId="1DC50967">
      <w:pPr>
        <w:adjustRightInd w:val="0"/>
        <w:snapToGrid w:val="0"/>
        <w:spacing w:line="594" w:lineRule="exact"/>
        <w:ind w:left="640"/>
        <w:rPr>
          <w:rFonts w:eastAsia="方正仿宋_GBK"/>
          <w:sz w:val="32"/>
        </w:rPr>
      </w:pPr>
      <w:r>
        <w:rPr>
          <w:rFonts w:eastAsia="方正黑体_GBK"/>
          <w:sz w:val="32"/>
        </w:rPr>
        <w:t>四、</w:t>
      </w:r>
      <w:r>
        <w:rPr>
          <w:rFonts w:hint="eastAsia" w:ascii="方正黑体_GBK" w:eastAsia="方正黑体_GBK"/>
          <w:sz w:val="32"/>
        </w:rPr>
        <w:t>“三公”经</w:t>
      </w:r>
      <w:r>
        <w:rPr>
          <w:rFonts w:eastAsia="方正黑体_GBK"/>
          <w:sz w:val="32"/>
        </w:rPr>
        <w:t>费情况说明</w:t>
      </w:r>
    </w:p>
    <w:p w14:paraId="439236C9">
      <w:pPr>
        <w:adjustRightInd w:val="0"/>
        <w:snapToGrid w:val="0"/>
        <w:spacing w:line="594" w:lineRule="exact"/>
        <w:ind w:firstLine="600"/>
        <w:rPr>
          <w:rFonts w:eastAsia="方正仿宋_GBK"/>
          <w:sz w:val="32"/>
        </w:rPr>
      </w:pPr>
      <w:r>
        <w:rPr>
          <w:rFonts w:hint="eastAsia" w:eastAsia="方正仿宋_GBK"/>
          <w:sz w:val="32"/>
        </w:rPr>
        <w:t>2025</w:t>
      </w:r>
      <w:r>
        <w:rPr>
          <w:rFonts w:eastAsia="方正仿宋_GBK"/>
          <w:sz w:val="32"/>
        </w:rPr>
        <w:t>年</w:t>
      </w:r>
      <w:r>
        <w:rPr>
          <w:rFonts w:hint="eastAsia" w:ascii="方正仿宋_GBK" w:eastAsia="方正仿宋_GBK"/>
          <w:sz w:val="32"/>
        </w:rPr>
        <w:t>“三公”经</w:t>
      </w:r>
      <w:r>
        <w:rPr>
          <w:rFonts w:eastAsia="方正仿宋_GBK"/>
          <w:sz w:val="32"/>
        </w:rPr>
        <w:t>费预算</w:t>
      </w:r>
      <w:r>
        <w:rPr>
          <w:rFonts w:hint="eastAsia" w:eastAsia="方正仿宋_GBK"/>
          <w:sz w:val="32"/>
        </w:rPr>
        <w:t>3.15</w:t>
      </w:r>
      <w:r>
        <w:rPr>
          <w:rFonts w:eastAsia="方正仿宋_GBK"/>
          <w:sz w:val="32"/>
        </w:rPr>
        <w:t>万元，</w:t>
      </w:r>
      <w:r>
        <w:rPr>
          <w:rFonts w:hint="eastAsia" w:eastAsia="方正仿宋_GBK"/>
          <w:sz w:val="32"/>
        </w:rPr>
        <w:t>与2024</w:t>
      </w:r>
      <w:r>
        <w:rPr>
          <w:rFonts w:eastAsia="方正仿宋_GBK"/>
          <w:sz w:val="32"/>
        </w:rPr>
        <w:t>年</w:t>
      </w:r>
      <w:r>
        <w:rPr>
          <w:rFonts w:hint="eastAsia" w:eastAsia="方正仿宋_GBK"/>
          <w:sz w:val="32"/>
        </w:rPr>
        <w:t>持平</w:t>
      </w:r>
      <w:r>
        <w:rPr>
          <w:rFonts w:eastAsia="方正仿宋_GBK"/>
          <w:sz w:val="32"/>
        </w:rPr>
        <w:t>。其中：因公出国（境）费用</w:t>
      </w:r>
      <w:r>
        <w:rPr>
          <w:rFonts w:hint="eastAsia" w:eastAsia="方正仿宋_GBK"/>
          <w:sz w:val="32"/>
        </w:rPr>
        <w:t>0</w:t>
      </w:r>
      <w:r>
        <w:rPr>
          <w:rFonts w:eastAsia="方正仿宋_GBK"/>
          <w:sz w:val="32"/>
        </w:rPr>
        <w:t>万元，</w:t>
      </w:r>
      <w:r>
        <w:rPr>
          <w:rFonts w:hint="eastAsia" w:eastAsia="方正仿宋_GBK"/>
          <w:sz w:val="32"/>
        </w:rPr>
        <w:t>与2024</w:t>
      </w:r>
      <w:r>
        <w:rPr>
          <w:rFonts w:eastAsia="方正仿宋_GBK"/>
          <w:sz w:val="32"/>
        </w:rPr>
        <w:t>年</w:t>
      </w:r>
      <w:r>
        <w:rPr>
          <w:rFonts w:hint="eastAsia" w:eastAsia="方正仿宋_GBK"/>
          <w:sz w:val="32"/>
        </w:rPr>
        <w:t>持平</w:t>
      </w:r>
      <w:r>
        <w:rPr>
          <w:rFonts w:eastAsia="方正仿宋_GBK"/>
          <w:sz w:val="32"/>
        </w:rPr>
        <w:t>，主要原因是</w:t>
      </w:r>
      <w:r>
        <w:rPr>
          <w:rFonts w:hint="eastAsia" w:eastAsia="方正仿宋_GBK"/>
          <w:sz w:val="32"/>
        </w:rPr>
        <w:t>无因公出国（境）事项</w:t>
      </w:r>
      <w:r>
        <w:rPr>
          <w:rFonts w:eastAsia="方正仿宋_GBK"/>
          <w:sz w:val="32"/>
        </w:rPr>
        <w:t>；公务接待费</w:t>
      </w:r>
      <w:r>
        <w:rPr>
          <w:rFonts w:hint="eastAsia" w:eastAsia="方正仿宋_GBK"/>
          <w:sz w:val="32"/>
        </w:rPr>
        <w:t>0.15</w:t>
      </w:r>
      <w:r>
        <w:rPr>
          <w:rFonts w:eastAsia="方正仿宋_GBK"/>
          <w:sz w:val="32"/>
        </w:rPr>
        <w:t>万元，</w:t>
      </w:r>
      <w:r>
        <w:rPr>
          <w:rFonts w:hint="eastAsia" w:eastAsia="方正仿宋_GBK"/>
          <w:sz w:val="32"/>
        </w:rPr>
        <w:t>与2024</w:t>
      </w:r>
      <w:r>
        <w:rPr>
          <w:rFonts w:eastAsia="方正仿宋_GBK"/>
          <w:sz w:val="32"/>
        </w:rPr>
        <w:t>年</w:t>
      </w:r>
      <w:r>
        <w:rPr>
          <w:rFonts w:hint="eastAsia" w:eastAsia="方正仿宋_GBK"/>
          <w:sz w:val="32"/>
        </w:rPr>
        <w:t>持平</w:t>
      </w:r>
      <w:r>
        <w:rPr>
          <w:rFonts w:eastAsia="方正仿宋_GBK"/>
          <w:sz w:val="32"/>
        </w:rPr>
        <w:t>；公务用车运行维护费</w:t>
      </w:r>
      <w:r>
        <w:rPr>
          <w:rFonts w:hint="eastAsia" w:eastAsia="方正仿宋_GBK"/>
          <w:sz w:val="32"/>
        </w:rPr>
        <w:t>3</w:t>
      </w:r>
      <w:r>
        <w:rPr>
          <w:rFonts w:eastAsia="方正仿宋_GBK"/>
          <w:sz w:val="32"/>
        </w:rPr>
        <w:t>万元，</w:t>
      </w:r>
      <w:r>
        <w:rPr>
          <w:rFonts w:hint="eastAsia" w:eastAsia="方正仿宋_GBK"/>
          <w:sz w:val="32"/>
        </w:rPr>
        <w:t>与2024</w:t>
      </w:r>
      <w:r>
        <w:rPr>
          <w:rFonts w:eastAsia="方正仿宋_GBK"/>
          <w:sz w:val="32"/>
        </w:rPr>
        <w:t>年</w:t>
      </w:r>
      <w:r>
        <w:rPr>
          <w:rFonts w:hint="eastAsia" w:eastAsia="方正仿宋_GBK"/>
          <w:sz w:val="32"/>
        </w:rPr>
        <w:t>持平</w:t>
      </w:r>
      <w:r>
        <w:rPr>
          <w:rFonts w:eastAsia="方正仿宋_GBK"/>
          <w:sz w:val="32"/>
        </w:rPr>
        <w:t>；公务用车购置费</w:t>
      </w:r>
      <w:r>
        <w:rPr>
          <w:rFonts w:hint="eastAsia" w:eastAsia="方正仿宋_GBK"/>
          <w:sz w:val="32"/>
        </w:rPr>
        <w:t>0</w:t>
      </w:r>
      <w:r>
        <w:rPr>
          <w:rFonts w:eastAsia="方正仿宋_GBK"/>
          <w:sz w:val="32"/>
        </w:rPr>
        <w:t>万元，</w:t>
      </w:r>
      <w:r>
        <w:rPr>
          <w:rFonts w:hint="eastAsia" w:eastAsia="方正仿宋_GBK"/>
          <w:sz w:val="32"/>
        </w:rPr>
        <w:t>与2024</w:t>
      </w:r>
      <w:r>
        <w:rPr>
          <w:rFonts w:eastAsia="方正仿宋_GBK"/>
          <w:sz w:val="32"/>
        </w:rPr>
        <w:t>年</w:t>
      </w:r>
      <w:r>
        <w:rPr>
          <w:rFonts w:hint="eastAsia" w:eastAsia="方正仿宋_GBK"/>
          <w:sz w:val="32"/>
        </w:rPr>
        <w:t>持平</w:t>
      </w:r>
      <w:r>
        <w:rPr>
          <w:rFonts w:eastAsia="方正仿宋_GBK"/>
          <w:sz w:val="32"/>
        </w:rPr>
        <w:t>。</w:t>
      </w:r>
    </w:p>
    <w:p w14:paraId="67D65947">
      <w:pPr>
        <w:adjustRightInd w:val="0"/>
        <w:snapToGrid w:val="0"/>
        <w:spacing w:line="594" w:lineRule="exact"/>
        <w:ind w:left="640"/>
        <w:rPr>
          <w:rFonts w:eastAsia="方正黑体_GBK"/>
          <w:sz w:val="32"/>
        </w:rPr>
      </w:pPr>
      <w:r>
        <w:rPr>
          <w:rFonts w:eastAsia="方正黑体_GBK"/>
          <w:sz w:val="32"/>
        </w:rPr>
        <w:t>五、其他重要事项的情况说明</w:t>
      </w:r>
    </w:p>
    <w:p w14:paraId="0E19BCA5">
      <w:pPr>
        <w:adjustRightInd w:val="0"/>
        <w:snapToGrid w:val="0"/>
        <w:spacing w:line="594" w:lineRule="exact"/>
        <w:ind w:firstLine="640" w:firstLineChars="200"/>
        <w:rPr>
          <w:rFonts w:eastAsia="方正仿宋_GBK"/>
          <w:sz w:val="32"/>
        </w:rPr>
      </w:pPr>
      <w:r>
        <w:rPr>
          <w:rFonts w:eastAsia="方正仿宋_GBK"/>
          <w:sz w:val="32"/>
        </w:rPr>
        <w:t>1、我单位不在机关运行经费统计范围之内。</w:t>
      </w:r>
    </w:p>
    <w:p w14:paraId="04497F95">
      <w:pPr>
        <w:adjustRightInd w:val="0"/>
        <w:snapToGrid w:val="0"/>
        <w:spacing w:line="594" w:lineRule="exact"/>
        <w:ind w:firstLine="643" w:firstLineChars="200"/>
        <w:rPr>
          <w:rFonts w:eastAsia="方正仿宋_GBK"/>
          <w:sz w:val="32"/>
        </w:rPr>
      </w:pPr>
      <w:r>
        <w:rPr>
          <w:rFonts w:eastAsia="方正仿宋_GBK"/>
          <w:b/>
          <w:sz w:val="32"/>
        </w:rPr>
        <w:t>2、政府采购情况。</w:t>
      </w:r>
      <w:r>
        <w:rPr>
          <w:rFonts w:eastAsia="方正仿宋_GBK"/>
          <w:sz w:val="32"/>
        </w:rPr>
        <w:t>所属各预算单位政府采购预算总额</w:t>
      </w:r>
      <w:r>
        <w:rPr>
          <w:rFonts w:hint="eastAsia" w:eastAsia="方正仿宋_GBK"/>
          <w:sz w:val="32"/>
        </w:rPr>
        <w:t>0</w:t>
      </w:r>
      <w:r>
        <w:rPr>
          <w:rFonts w:eastAsia="方正仿宋_GBK"/>
          <w:sz w:val="32"/>
        </w:rPr>
        <w:t>万元：政府采购货物预算</w:t>
      </w:r>
      <w:r>
        <w:rPr>
          <w:rFonts w:hint="eastAsia" w:eastAsia="方正仿宋_GBK"/>
          <w:sz w:val="32"/>
        </w:rPr>
        <w:t>0</w:t>
      </w:r>
      <w:r>
        <w:rPr>
          <w:rFonts w:eastAsia="方正仿宋_GBK"/>
          <w:sz w:val="32"/>
        </w:rPr>
        <w:t>万元、政府采购工程预算</w:t>
      </w:r>
      <w:r>
        <w:rPr>
          <w:rFonts w:hint="eastAsia" w:eastAsia="方正仿宋_GBK"/>
          <w:sz w:val="32"/>
        </w:rPr>
        <w:t>0</w:t>
      </w:r>
      <w:r>
        <w:rPr>
          <w:rFonts w:eastAsia="方正仿宋_GBK"/>
          <w:sz w:val="32"/>
        </w:rPr>
        <w:t>万元、政府采购服务预算</w:t>
      </w:r>
      <w:r>
        <w:rPr>
          <w:rFonts w:hint="eastAsia" w:eastAsia="方正仿宋_GBK"/>
          <w:sz w:val="32"/>
        </w:rPr>
        <w:t>0</w:t>
      </w:r>
      <w:r>
        <w:rPr>
          <w:rFonts w:eastAsia="方正仿宋_GBK"/>
          <w:sz w:val="32"/>
        </w:rPr>
        <w:t>万元；其中一般公共预算拨款政府采购</w:t>
      </w:r>
      <w:r>
        <w:rPr>
          <w:rFonts w:hint="eastAsia" w:eastAsia="方正仿宋_GBK"/>
          <w:sz w:val="32"/>
        </w:rPr>
        <w:t>0</w:t>
      </w:r>
      <w:r>
        <w:rPr>
          <w:rFonts w:eastAsia="方正仿宋_GBK"/>
          <w:sz w:val="32"/>
        </w:rPr>
        <w:t>万元：政府采购货物预算</w:t>
      </w:r>
      <w:r>
        <w:rPr>
          <w:rFonts w:hint="eastAsia" w:eastAsia="方正仿宋_GBK"/>
          <w:sz w:val="32"/>
        </w:rPr>
        <w:t>0</w:t>
      </w:r>
      <w:r>
        <w:rPr>
          <w:rFonts w:eastAsia="方正仿宋_GBK"/>
          <w:sz w:val="32"/>
        </w:rPr>
        <w:t>万元、政府采购工程预算</w:t>
      </w:r>
      <w:r>
        <w:rPr>
          <w:rFonts w:hint="eastAsia" w:eastAsia="方正仿宋_GBK"/>
          <w:sz w:val="32"/>
        </w:rPr>
        <w:t>0</w:t>
      </w:r>
      <w:r>
        <w:rPr>
          <w:rFonts w:eastAsia="方正仿宋_GBK"/>
          <w:sz w:val="32"/>
        </w:rPr>
        <w:t>万元、政府采购服务预算</w:t>
      </w:r>
      <w:r>
        <w:rPr>
          <w:rFonts w:hint="eastAsia" w:eastAsia="方正仿宋_GBK"/>
          <w:sz w:val="32"/>
        </w:rPr>
        <w:t>0</w:t>
      </w:r>
      <w:r>
        <w:rPr>
          <w:rFonts w:eastAsia="方正仿宋_GBK"/>
          <w:sz w:val="32"/>
        </w:rPr>
        <w:t>万元。</w:t>
      </w:r>
    </w:p>
    <w:p w14:paraId="6EB2D7BD">
      <w:pPr>
        <w:adjustRightInd w:val="0"/>
        <w:snapToGrid w:val="0"/>
        <w:spacing w:line="594" w:lineRule="exact"/>
        <w:ind w:firstLine="643" w:firstLineChars="200"/>
        <w:rPr>
          <w:rFonts w:eastAsia="方正仿宋_GBK"/>
          <w:color w:val="000000"/>
          <w:sz w:val="32"/>
        </w:rPr>
      </w:pPr>
      <w:r>
        <w:rPr>
          <w:rFonts w:eastAsia="方正仿宋_GBK"/>
          <w:b/>
          <w:sz w:val="32"/>
        </w:rPr>
        <w:t>3、绩效目标设置情况。</w:t>
      </w:r>
      <w:r>
        <w:rPr>
          <w:rFonts w:hint="eastAsia" w:eastAsia="方正仿宋_GBK"/>
          <w:color w:val="000000"/>
          <w:sz w:val="32"/>
        </w:rPr>
        <w:t>2025</w:t>
      </w:r>
      <w:r>
        <w:rPr>
          <w:rFonts w:eastAsia="方正仿宋_GBK"/>
          <w:color w:val="000000"/>
          <w:sz w:val="32"/>
        </w:rPr>
        <w:t>年</w:t>
      </w:r>
      <w:r>
        <w:rPr>
          <w:rFonts w:hint="eastAsia" w:eastAsia="方正仿宋_GBK"/>
          <w:bCs/>
          <w:color w:val="000000"/>
          <w:sz w:val="32"/>
        </w:rPr>
        <w:t>本单位无一般公共预算</w:t>
      </w:r>
      <w:r>
        <w:rPr>
          <w:rFonts w:eastAsia="方正仿宋_GBK"/>
          <w:bCs/>
          <w:color w:val="000000"/>
          <w:sz w:val="32"/>
        </w:rPr>
        <w:t>项目支出。</w:t>
      </w:r>
    </w:p>
    <w:p w14:paraId="4297998F">
      <w:pPr>
        <w:adjustRightInd w:val="0"/>
        <w:snapToGrid w:val="0"/>
        <w:spacing w:line="594" w:lineRule="exact"/>
        <w:ind w:firstLine="643" w:firstLineChars="200"/>
        <w:rPr>
          <w:rFonts w:eastAsia="方正仿宋_GBK"/>
          <w:sz w:val="32"/>
        </w:rPr>
      </w:pPr>
      <w:r>
        <w:rPr>
          <w:rFonts w:eastAsia="方正仿宋_GBK"/>
          <w:b/>
          <w:color w:val="000000"/>
          <w:sz w:val="32"/>
        </w:rPr>
        <w:t>4、国有资产占有使用情况。</w:t>
      </w:r>
      <w:r>
        <w:rPr>
          <w:rFonts w:eastAsia="方正仿宋_GBK"/>
          <w:color w:val="000000"/>
          <w:sz w:val="32"/>
        </w:rPr>
        <w:t>截</w:t>
      </w:r>
      <w:r>
        <w:rPr>
          <w:rFonts w:hint="eastAsia" w:eastAsia="方正仿宋_GBK"/>
          <w:color w:val="000000"/>
          <w:sz w:val="32"/>
        </w:rPr>
        <w:t>至2024</w:t>
      </w:r>
      <w:r>
        <w:rPr>
          <w:rFonts w:eastAsia="方正仿宋_GBK"/>
          <w:color w:val="000000"/>
          <w:sz w:val="32"/>
        </w:rPr>
        <w:t>年12月，</w:t>
      </w:r>
      <w:r>
        <w:rPr>
          <w:rFonts w:hint="eastAsia" w:eastAsia="方正仿宋_GBK"/>
          <w:color w:val="000000"/>
          <w:sz w:val="32"/>
        </w:rPr>
        <w:t>本</w:t>
      </w:r>
      <w:r>
        <w:rPr>
          <w:rFonts w:eastAsia="方正仿宋_GBK"/>
          <w:color w:val="000000"/>
          <w:sz w:val="32"/>
        </w:rPr>
        <w:t>单位</w:t>
      </w:r>
      <w:r>
        <w:rPr>
          <w:rFonts w:eastAsia="方正仿宋_GBK"/>
          <w:sz w:val="32"/>
        </w:rPr>
        <w:t>共有车辆</w:t>
      </w:r>
      <w:r>
        <w:rPr>
          <w:rFonts w:hint="eastAsia" w:eastAsia="方正仿宋_GBK"/>
          <w:sz w:val="32"/>
        </w:rPr>
        <w:t>1</w:t>
      </w:r>
      <w:r>
        <w:rPr>
          <w:rFonts w:eastAsia="方正仿宋_GBK"/>
          <w:sz w:val="32"/>
        </w:rPr>
        <w:t>辆，其中一般公务用车</w:t>
      </w:r>
      <w:r>
        <w:rPr>
          <w:rFonts w:hint="eastAsia" w:eastAsia="方正仿宋_GBK"/>
          <w:sz w:val="32"/>
        </w:rPr>
        <w:t>1</w:t>
      </w:r>
      <w:r>
        <w:rPr>
          <w:rFonts w:eastAsia="方正仿宋_GBK"/>
          <w:sz w:val="32"/>
        </w:rPr>
        <w:t>辆、执勤执法用车</w:t>
      </w:r>
      <w:r>
        <w:rPr>
          <w:rFonts w:hint="eastAsia" w:eastAsia="方正仿宋_GBK"/>
          <w:sz w:val="32"/>
        </w:rPr>
        <w:t>0</w:t>
      </w:r>
      <w:r>
        <w:rPr>
          <w:rFonts w:eastAsia="方正仿宋_GBK"/>
          <w:sz w:val="32"/>
        </w:rPr>
        <w:t>辆。</w:t>
      </w:r>
      <w:r>
        <w:rPr>
          <w:rFonts w:hint="eastAsia" w:eastAsia="方正仿宋_GBK"/>
          <w:sz w:val="32"/>
        </w:rPr>
        <w:t>2024</w:t>
      </w:r>
      <w:r>
        <w:rPr>
          <w:rFonts w:eastAsia="方正仿宋_GBK"/>
          <w:sz w:val="32"/>
        </w:rPr>
        <w:t>年一般公共预算安排购置车辆</w:t>
      </w:r>
      <w:r>
        <w:rPr>
          <w:rFonts w:hint="eastAsia" w:eastAsia="方正仿宋_GBK"/>
          <w:sz w:val="32"/>
        </w:rPr>
        <w:t>0</w:t>
      </w:r>
      <w:r>
        <w:rPr>
          <w:rFonts w:eastAsia="方正仿宋_GBK"/>
          <w:sz w:val="32"/>
        </w:rPr>
        <w:t>辆，其中一般公务用车</w:t>
      </w:r>
      <w:r>
        <w:rPr>
          <w:rFonts w:hint="eastAsia" w:eastAsia="方正仿宋_GBK"/>
          <w:sz w:val="32"/>
        </w:rPr>
        <w:t>0</w:t>
      </w:r>
      <w:r>
        <w:rPr>
          <w:rFonts w:eastAsia="方正仿宋_GBK"/>
          <w:sz w:val="32"/>
        </w:rPr>
        <w:t>辆、执勤执法用车</w:t>
      </w:r>
      <w:r>
        <w:rPr>
          <w:rFonts w:hint="eastAsia" w:eastAsia="方正仿宋_GBK"/>
          <w:sz w:val="32"/>
        </w:rPr>
        <w:t>0</w:t>
      </w:r>
      <w:r>
        <w:rPr>
          <w:rFonts w:eastAsia="方正仿宋_GBK"/>
          <w:sz w:val="32"/>
        </w:rPr>
        <w:t>辆。</w:t>
      </w:r>
    </w:p>
    <w:p w14:paraId="3D651E12">
      <w:pPr>
        <w:adjustRightInd w:val="0"/>
        <w:snapToGrid w:val="0"/>
        <w:spacing w:line="594" w:lineRule="exact"/>
        <w:ind w:firstLine="640" w:firstLineChars="200"/>
        <w:rPr>
          <w:rFonts w:eastAsia="方正黑体_GBK"/>
          <w:sz w:val="32"/>
        </w:rPr>
      </w:pPr>
      <w:r>
        <w:rPr>
          <w:rFonts w:eastAsia="方正黑体_GBK"/>
          <w:sz w:val="32"/>
        </w:rPr>
        <w:t>六、专业性名词解释</w:t>
      </w:r>
    </w:p>
    <w:p w14:paraId="12E98731">
      <w:pPr>
        <w:pStyle w:val="7"/>
        <w:tabs>
          <w:tab w:val="center" w:pos="4153"/>
          <w:tab w:val="left" w:pos="7275"/>
        </w:tabs>
        <w:adjustRightInd w:val="0"/>
        <w:snapToGrid w:val="0"/>
        <w:spacing w:line="594"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14:paraId="66BF0EFC">
      <w:pPr>
        <w:pStyle w:val="7"/>
        <w:tabs>
          <w:tab w:val="center" w:pos="4153"/>
          <w:tab w:val="left" w:pos="7275"/>
        </w:tabs>
        <w:adjustRightInd w:val="0"/>
        <w:snapToGrid w:val="0"/>
        <w:spacing w:line="594" w:lineRule="exact"/>
        <w:ind w:firstLine="640"/>
        <w:jc w:val="left"/>
        <w:rPr>
          <w:rFonts w:ascii="方正仿宋_GBK" w:hAnsi="Times New Roman" w:eastAsia="方正仿宋_GBK"/>
          <w:sz w:val="32"/>
          <w:szCs w:val="32"/>
        </w:rPr>
      </w:pPr>
      <w:r>
        <w:rPr>
          <w:rFonts w:hint="eastAsia" w:ascii="方正楷体_GBK" w:hAnsi="Times New Roman" w:eastAsia="方正楷体_GBK"/>
          <w:sz w:val="32"/>
          <w:szCs w:val="32"/>
        </w:rPr>
        <w:t>（二）其他收入：</w:t>
      </w:r>
      <w:r>
        <w:rPr>
          <w:rFonts w:ascii="Times New Roman" w:hAnsi="Times New Roman" w:eastAsia="方正仿宋_GBK"/>
          <w:sz w:val="32"/>
          <w:szCs w:val="32"/>
        </w:rPr>
        <w:t>指单位取</w:t>
      </w:r>
      <w:r>
        <w:rPr>
          <w:rFonts w:hint="eastAsia" w:ascii="方正仿宋_GBK" w:hAnsi="Times New Roman" w:eastAsia="方正仿宋_GBK"/>
          <w:sz w:val="32"/>
          <w:szCs w:val="32"/>
        </w:rPr>
        <w:t>得的除“财政拨款收入”、“事业收入”、“经营收入”等以外的收入。</w:t>
      </w:r>
    </w:p>
    <w:p w14:paraId="4D60D292">
      <w:pPr>
        <w:pStyle w:val="7"/>
        <w:tabs>
          <w:tab w:val="center" w:pos="4153"/>
          <w:tab w:val="left" w:pos="7275"/>
        </w:tabs>
        <w:adjustRightInd w:val="0"/>
        <w:snapToGrid w:val="0"/>
        <w:spacing w:line="594"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14:paraId="3E9B163D">
      <w:pPr>
        <w:pStyle w:val="7"/>
        <w:tabs>
          <w:tab w:val="center" w:pos="4153"/>
          <w:tab w:val="left" w:pos="7275"/>
        </w:tabs>
        <w:adjustRightInd w:val="0"/>
        <w:snapToGrid w:val="0"/>
        <w:spacing w:line="594" w:lineRule="exact"/>
        <w:ind w:firstLine="640"/>
        <w:jc w:val="left"/>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14:paraId="154CD72D">
      <w:pPr>
        <w:adjustRightInd w:val="0"/>
        <w:snapToGrid w:val="0"/>
        <w:spacing w:line="594" w:lineRule="exact"/>
        <w:ind w:firstLine="640" w:firstLineChars="200"/>
        <w:rPr>
          <w:rFonts w:eastAsia="方正仿宋_GBK"/>
          <w:sz w:val="32"/>
          <w:szCs w:val="32"/>
        </w:rPr>
      </w:pPr>
      <w:r>
        <w:rPr>
          <w:rFonts w:hint="eastAsia" w:ascii="方正楷体_GBK" w:eastAsia="方正楷体_GBK"/>
          <w:sz w:val="32"/>
          <w:szCs w:val="32"/>
        </w:rPr>
        <w:t>（五）“三公”经费：</w:t>
      </w:r>
      <w:r>
        <w:rPr>
          <w:rFonts w:hint="eastAsia" w:ascii="方正仿宋_GBK" w:eastAsia="方正仿宋_GBK"/>
          <w:sz w:val="32"/>
          <w:szCs w:val="32"/>
        </w:rPr>
        <w:t>指用一</w:t>
      </w:r>
      <w:r>
        <w:rPr>
          <w:rFonts w:eastAsia="方正仿宋_GBK"/>
          <w:sz w:val="32"/>
          <w:szCs w:val="32"/>
        </w:rPr>
        <w:t>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8F7F01F">
      <w:pPr>
        <w:adjustRightInd w:val="0"/>
        <w:snapToGrid w:val="0"/>
        <w:spacing w:line="594" w:lineRule="exact"/>
        <w:rPr>
          <w:rFonts w:eastAsia="方正小标宋_GBK"/>
          <w:sz w:val="44"/>
          <w:szCs w:val="44"/>
        </w:rPr>
      </w:pPr>
    </w:p>
    <w:p w14:paraId="4E4BA79B">
      <w:pPr>
        <w:adjustRightInd w:val="0"/>
        <w:snapToGrid w:val="0"/>
        <w:spacing w:line="594" w:lineRule="exact"/>
        <w:ind w:firstLine="880" w:firstLineChars="200"/>
        <w:rPr>
          <w:rFonts w:eastAsia="方正小标宋_GBK"/>
          <w:sz w:val="44"/>
          <w:szCs w:val="44"/>
        </w:rPr>
      </w:pPr>
    </w:p>
    <w:p w14:paraId="0466F827">
      <w:pPr>
        <w:adjustRightInd w:val="0"/>
        <w:snapToGrid w:val="0"/>
        <w:spacing w:line="594" w:lineRule="exact"/>
        <w:ind w:firstLine="880" w:firstLineChars="200"/>
        <w:rPr>
          <w:rFonts w:eastAsia="方正小标宋_GBK"/>
          <w:sz w:val="44"/>
          <w:szCs w:val="44"/>
        </w:rPr>
      </w:pPr>
    </w:p>
    <w:p w14:paraId="217B3FF4">
      <w:pPr>
        <w:adjustRightInd w:val="0"/>
        <w:snapToGrid w:val="0"/>
        <w:spacing w:line="594" w:lineRule="exact"/>
        <w:ind w:firstLine="880" w:firstLineChars="200"/>
        <w:rPr>
          <w:rFonts w:eastAsia="方正小标宋_GBK"/>
          <w:sz w:val="44"/>
          <w:szCs w:val="44"/>
        </w:rPr>
      </w:pPr>
    </w:p>
    <w:p w14:paraId="5EBC80BC">
      <w:pPr>
        <w:adjustRightInd w:val="0"/>
        <w:snapToGrid w:val="0"/>
        <w:spacing w:line="594" w:lineRule="exact"/>
        <w:ind w:firstLine="880" w:firstLineChars="200"/>
        <w:rPr>
          <w:rFonts w:eastAsia="方正小标宋_GBK"/>
          <w:sz w:val="44"/>
          <w:szCs w:val="44"/>
        </w:rPr>
      </w:pPr>
    </w:p>
    <w:p w14:paraId="5F8DABA7">
      <w:pPr>
        <w:adjustRightInd w:val="0"/>
        <w:snapToGrid w:val="0"/>
        <w:spacing w:line="594" w:lineRule="exact"/>
        <w:ind w:firstLine="880" w:firstLineChars="200"/>
        <w:rPr>
          <w:rFonts w:eastAsia="方正小标宋_GBK"/>
          <w:sz w:val="44"/>
          <w:szCs w:val="44"/>
        </w:rPr>
      </w:pPr>
    </w:p>
    <w:p w14:paraId="0BF33819">
      <w:pPr>
        <w:adjustRightInd w:val="0"/>
        <w:snapToGrid w:val="0"/>
        <w:spacing w:line="594" w:lineRule="exact"/>
        <w:ind w:firstLine="880" w:firstLineChars="200"/>
        <w:rPr>
          <w:rFonts w:eastAsia="方正小标宋_GBK"/>
          <w:sz w:val="44"/>
          <w:szCs w:val="44"/>
        </w:rPr>
      </w:pPr>
    </w:p>
    <w:p w14:paraId="24B8566D">
      <w:pPr>
        <w:adjustRightInd w:val="0"/>
        <w:snapToGrid w:val="0"/>
        <w:spacing w:line="594" w:lineRule="exact"/>
        <w:ind w:firstLine="880" w:firstLineChars="200"/>
        <w:rPr>
          <w:rFonts w:eastAsia="方正小标宋_GBK"/>
          <w:sz w:val="44"/>
          <w:szCs w:val="44"/>
        </w:rPr>
      </w:pPr>
    </w:p>
    <w:p w14:paraId="28120526">
      <w:pPr>
        <w:adjustRightInd w:val="0"/>
        <w:snapToGrid w:val="0"/>
        <w:spacing w:line="594" w:lineRule="exact"/>
        <w:ind w:firstLine="880" w:firstLineChars="200"/>
        <w:rPr>
          <w:rFonts w:eastAsia="方正小标宋_GBK"/>
          <w:sz w:val="44"/>
          <w:szCs w:val="44"/>
        </w:rPr>
      </w:pPr>
    </w:p>
    <w:p w14:paraId="75D4FEF2">
      <w:pPr>
        <w:adjustRightInd w:val="0"/>
        <w:snapToGrid w:val="0"/>
        <w:spacing w:line="594" w:lineRule="exact"/>
        <w:ind w:firstLine="880" w:firstLineChars="200"/>
        <w:rPr>
          <w:rFonts w:eastAsia="方正小标宋_GBK"/>
          <w:sz w:val="44"/>
          <w:szCs w:val="44"/>
        </w:rPr>
      </w:pPr>
    </w:p>
    <w:p w14:paraId="05724C24">
      <w:pPr>
        <w:adjustRightInd w:val="0"/>
        <w:snapToGrid w:val="0"/>
        <w:spacing w:line="594" w:lineRule="exact"/>
        <w:ind w:firstLine="880" w:firstLineChars="200"/>
        <w:rPr>
          <w:rFonts w:eastAsia="方正小标宋_GBK"/>
          <w:sz w:val="44"/>
          <w:szCs w:val="44"/>
        </w:rPr>
      </w:pPr>
    </w:p>
    <w:p w14:paraId="1637CF81">
      <w:pPr>
        <w:adjustRightInd w:val="0"/>
        <w:snapToGrid w:val="0"/>
        <w:spacing w:line="594" w:lineRule="exact"/>
        <w:ind w:firstLine="880" w:firstLineChars="200"/>
        <w:rPr>
          <w:rFonts w:eastAsia="方正小标宋_GBK"/>
          <w:sz w:val="44"/>
          <w:szCs w:val="44"/>
        </w:rPr>
      </w:pPr>
    </w:p>
    <w:p w14:paraId="31535B4D">
      <w:pPr>
        <w:adjustRightInd w:val="0"/>
        <w:snapToGrid w:val="0"/>
        <w:spacing w:line="594" w:lineRule="exact"/>
        <w:ind w:firstLine="880" w:firstLineChars="200"/>
        <w:rPr>
          <w:rFonts w:eastAsia="方正小标宋_GBK"/>
          <w:sz w:val="44"/>
          <w:szCs w:val="44"/>
        </w:rPr>
      </w:pPr>
      <w:r>
        <w:rPr>
          <w:rFonts w:hint="eastAsia" w:eastAsia="方正小标宋_GBK"/>
          <w:sz w:val="44"/>
          <w:szCs w:val="44"/>
        </w:rPr>
        <w:t>第二部分：2025年部门预算公开报表</w:t>
      </w:r>
    </w:p>
    <w:p w14:paraId="4493E399">
      <w:pPr>
        <w:adjustRightInd w:val="0"/>
        <w:snapToGrid w:val="0"/>
        <w:spacing w:line="594" w:lineRule="exact"/>
        <w:ind w:firstLine="640" w:firstLineChars="200"/>
        <w:rPr>
          <w:rFonts w:eastAsia="方正黑体_GBK"/>
          <w:sz w:val="32"/>
        </w:rPr>
      </w:pPr>
    </w:p>
    <w:p w14:paraId="2E4E17CE">
      <w:pPr>
        <w:adjustRightInd w:val="0"/>
        <w:snapToGrid w:val="0"/>
        <w:spacing w:line="594" w:lineRule="exact"/>
        <w:ind w:firstLine="640" w:firstLineChars="200"/>
        <w:rPr>
          <w:rFonts w:eastAsia="方正黑体_GBK"/>
          <w:sz w:val="32"/>
        </w:rPr>
      </w:pPr>
      <w:r>
        <w:rPr>
          <w:rFonts w:hint="eastAsia" w:eastAsia="方正黑体_GBK"/>
          <w:sz w:val="32"/>
        </w:rPr>
        <w:t>2025年部门预算公开报表（详见附表重庆市开州区农民科技教育培训中心2025</w:t>
      </w:r>
      <w:r>
        <w:rPr>
          <w:rFonts w:eastAsia="方正黑体_GBK"/>
          <w:sz w:val="32"/>
        </w:rPr>
        <w:t>年部门预算公开报表</w:t>
      </w:r>
      <w:r>
        <w:rPr>
          <w:rFonts w:hint="eastAsia" w:eastAsia="方正黑体_GBK"/>
          <w:sz w:val="32"/>
        </w:rPr>
        <w:t>）</w:t>
      </w:r>
    </w:p>
    <w:p w14:paraId="70AC3593">
      <w:pPr>
        <w:adjustRightInd w:val="0"/>
        <w:snapToGrid w:val="0"/>
        <w:spacing w:line="594" w:lineRule="exact"/>
        <w:rPr>
          <w:rFonts w:eastAsia="方正仿宋_GBK"/>
          <w:sz w:val="32"/>
          <w:szCs w:val="32"/>
        </w:rPr>
      </w:pPr>
      <w:r>
        <w:rPr>
          <w:rFonts w:eastAsia="方正仿宋_GBK"/>
          <w:b/>
          <w:sz w:val="32"/>
        </w:rPr>
        <w:t>部门预算公开联系人：</w:t>
      </w:r>
      <w:r>
        <w:rPr>
          <w:rFonts w:hint="eastAsia" w:eastAsia="方正仿宋_GBK"/>
          <w:b/>
          <w:sz w:val="32"/>
        </w:rPr>
        <w:t>陈钐杉</w:t>
      </w:r>
      <w:r>
        <w:rPr>
          <w:rFonts w:eastAsia="方正仿宋_GBK"/>
          <w:b/>
          <w:sz w:val="32"/>
        </w:rPr>
        <w:t xml:space="preserve">  联系方式：023-</w:t>
      </w:r>
      <w:r>
        <w:rPr>
          <w:rFonts w:hint="eastAsia" w:eastAsia="方正仿宋_GBK"/>
          <w:b/>
          <w:sz w:val="32"/>
        </w:rPr>
        <w:t>52280518</w:t>
      </w:r>
    </w:p>
    <w:p w14:paraId="54CF5588">
      <w:pPr>
        <w:adjustRightInd w:val="0"/>
        <w:snapToGrid w:val="0"/>
        <w:spacing w:line="594" w:lineRule="exact"/>
        <w:jc w:val="center"/>
        <w:rPr>
          <w:rFonts w:eastAsia="方正小标宋_GBK"/>
          <w:sz w:val="44"/>
          <w:szCs w:val="44"/>
        </w:rPr>
      </w:pPr>
    </w:p>
    <w:p w14:paraId="39948F23">
      <w:pPr>
        <w:adjustRightInd w:val="0"/>
        <w:snapToGrid w:val="0"/>
        <w:spacing w:line="594" w:lineRule="exact"/>
        <w:jc w:val="center"/>
        <w:rPr>
          <w:rFonts w:eastAsia="方正小标宋_GBK"/>
          <w:sz w:val="44"/>
          <w:szCs w:val="44"/>
        </w:rPr>
      </w:pPr>
    </w:p>
    <w:p w14:paraId="0DD74799">
      <w:pPr>
        <w:adjustRightInd w:val="0"/>
        <w:snapToGrid w:val="0"/>
        <w:spacing w:line="594" w:lineRule="exact"/>
        <w:jc w:val="center"/>
        <w:rPr>
          <w:rFonts w:eastAsia="方正小标宋_GBK"/>
          <w:sz w:val="44"/>
          <w:szCs w:val="44"/>
        </w:rPr>
      </w:pPr>
    </w:p>
    <w:p w14:paraId="1D1D857A">
      <w:pPr>
        <w:adjustRightInd w:val="0"/>
        <w:snapToGrid w:val="0"/>
        <w:spacing w:line="594" w:lineRule="exact"/>
        <w:jc w:val="center"/>
        <w:rPr>
          <w:rFonts w:eastAsia="方正小标宋_GBK"/>
          <w:sz w:val="44"/>
          <w:szCs w:val="44"/>
        </w:rPr>
      </w:pPr>
    </w:p>
    <w:p w14:paraId="60E46776">
      <w:pPr>
        <w:adjustRightInd w:val="0"/>
        <w:snapToGrid w:val="0"/>
        <w:spacing w:line="594" w:lineRule="exact"/>
        <w:jc w:val="center"/>
        <w:rPr>
          <w:rFonts w:eastAsia="方正仿宋_GBK"/>
          <w:sz w:val="32"/>
          <w:szCs w:val="32"/>
        </w:rPr>
      </w:pPr>
      <w:r>
        <w:rPr>
          <w:rFonts w:eastAsia="方正仿宋_GBK"/>
          <w:sz w:val="32"/>
          <w:szCs w:val="32"/>
        </w:rPr>
        <w:t>　</w:t>
      </w:r>
      <w:r>
        <w:rPr>
          <w:rFonts w:hint="eastAsia" w:eastAsia="方正仿宋_GBK"/>
          <w:sz w:val="32"/>
          <w:szCs w:val="32"/>
          <w:lang w:val="en-US" w:eastAsia="zh-CN"/>
        </w:rPr>
        <w:t xml:space="preserve">          </w:t>
      </w:r>
      <w:r>
        <w:rPr>
          <w:rFonts w:hint="eastAsia" w:eastAsia="方正仿宋_GBK"/>
          <w:sz w:val="32"/>
          <w:szCs w:val="32"/>
        </w:rPr>
        <w:t xml:space="preserve">重庆市开州区农业农村委员会  </w:t>
      </w:r>
    </w:p>
    <w:p w14:paraId="5DBE5129">
      <w:pPr>
        <w:adjustRightInd w:val="0"/>
        <w:snapToGrid w:val="0"/>
        <w:spacing w:line="594" w:lineRule="exact"/>
        <w:jc w:val="center"/>
        <w:rPr>
          <w:rFonts w:eastAsia="方正仿宋_GBK"/>
          <w:color w:val="FF0000"/>
          <w:sz w:val="32"/>
          <w:szCs w:val="32"/>
        </w:rPr>
      </w:pPr>
      <w:r>
        <w:rPr>
          <w:rFonts w:eastAsia="方正仿宋_GBK"/>
          <w:sz w:val="32"/>
          <w:szCs w:val="32"/>
        </w:rPr>
        <w:t>　</w:t>
      </w:r>
      <w:r>
        <w:rPr>
          <w:rFonts w:hint="eastAsia" w:eastAsia="方正仿宋_GBK"/>
          <w:sz w:val="32"/>
          <w:szCs w:val="32"/>
          <w:lang w:val="en-US" w:eastAsia="zh-CN"/>
        </w:rPr>
        <w:t xml:space="preserve">         </w:t>
      </w:r>
      <w:r>
        <w:rPr>
          <w:rFonts w:eastAsia="方正仿宋_GBK"/>
          <w:sz w:val="32"/>
          <w:szCs w:val="32"/>
        </w:rPr>
        <w:t>202</w:t>
      </w:r>
      <w:r>
        <w:rPr>
          <w:rFonts w:hint="eastAsia" w:eastAsia="方正仿宋_GBK"/>
          <w:sz w:val="32"/>
          <w:szCs w:val="32"/>
        </w:rPr>
        <w:t>5</w:t>
      </w:r>
      <w:r>
        <w:rPr>
          <w:rFonts w:eastAsia="方正仿宋_GBK"/>
          <w:sz w:val="32"/>
          <w:szCs w:val="32"/>
        </w:rPr>
        <w:t>年3月</w:t>
      </w:r>
      <w:r>
        <w:rPr>
          <w:rFonts w:hint="eastAsia" w:eastAsia="方正仿宋_GBK"/>
          <w:sz w:val="32"/>
          <w:szCs w:val="32"/>
        </w:rPr>
        <w:t>12</w:t>
      </w:r>
      <w:r>
        <w:rPr>
          <w:rFonts w:eastAsia="方正仿宋_GBK"/>
          <w:sz w:val="32"/>
          <w:szCs w:val="32"/>
        </w:rPr>
        <w:t>日</w:t>
      </w:r>
    </w:p>
    <w:p w14:paraId="12ECD410">
      <w:pPr>
        <w:adjustRightInd w:val="0"/>
        <w:snapToGrid w:val="0"/>
        <w:spacing w:line="594" w:lineRule="exact"/>
        <w:jc w:val="center"/>
        <w:rPr>
          <w:rFonts w:eastAsia="方正小标宋_GBK"/>
          <w:sz w:val="44"/>
          <w:szCs w:val="44"/>
        </w:rPr>
      </w:pPr>
    </w:p>
    <w:p w14:paraId="72CB117D">
      <w:pPr>
        <w:adjustRightInd w:val="0"/>
        <w:snapToGrid w:val="0"/>
        <w:spacing w:line="594" w:lineRule="exact"/>
        <w:jc w:val="center"/>
        <w:rPr>
          <w:rFonts w:eastAsia="方正仿宋_GBK"/>
          <w:sz w:val="32"/>
          <w:szCs w:val="32"/>
        </w:rPr>
      </w:pPr>
    </w:p>
    <w:p w14:paraId="1499C5B7">
      <w:pPr>
        <w:adjustRightInd w:val="0"/>
        <w:snapToGrid w:val="0"/>
        <w:spacing w:line="594" w:lineRule="exact"/>
        <w:jc w:val="center"/>
        <w:rPr>
          <w:rFonts w:eastAsia="方正仿宋_GBK"/>
          <w:sz w:val="32"/>
          <w:szCs w:val="32"/>
        </w:rPr>
      </w:pPr>
    </w:p>
    <w:p w14:paraId="1234F954">
      <w:pPr>
        <w:adjustRightInd w:val="0"/>
        <w:snapToGrid w:val="0"/>
        <w:spacing w:line="594" w:lineRule="exact"/>
        <w:jc w:val="center"/>
        <w:rPr>
          <w:rFonts w:eastAsia="方正仿宋_GBK"/>
          <w:sz w:val="32"/>
          <w:szCs w:val="32"/>
        </w:rPr>
      </w:pPr>
    </w:p>
    <w:p w14:paraId="7017CC57">
      <w:pPr>
        <w:adjustRightInd w:val="0"/>
        <w:snapToGrid w:val="0"/>
        <w:spacing w:line="594" w:lineRule="exact"/>
        <w:jc w:val="center"/>
        <w:rPr>
          <w:rFonts w:eastAsia="方正仿宋_GBK"/>
          <w:sz w:val="32"/>
          <w:szCs w:val="32"/>
        </w:rPr>
      </w:pPr>
    </w:p>
    <w:p w14:paraId="7D9B4982">
      <w:pPr>
        <w:adjustRightInd w:val="0"/>
        <w:snapToGrid w:val="0"/>
        <w:spacing w:line="594" w:lineRule="exact"/>
        <w:jc w:val="center"/>
        <w:rPr>
          <w:rFonts w:eastAsia="方正仿宋_GBK"/>
          <w:sz w:val="32"/>
          <w:szCs w:val="32"/>
        </w:rPr>
      </w:pPr>
    </w:p>
    <w:p w14:paraId="051BF484">
      <w:pPr>
        <w:adjustRightInd w:val="0"/>
        <w:snapToGrid w:val="0"/>
        <w:spacing w:line="594" w:lineRule="exact"/>
        <w:jc w:val="center"/>
        <w:rPr>
          <w:rFonts w:eastAsia="方正仿宋_GBK"/>
          <w:sz w:val="32"/>
          <w:szCs w:val="32"/>
        </w:rPr>
      </w:pPr>
    </w:p>
    <w:p w14:paraId="6B2BD65F">
      <w:pPr>
        <w:adjustRightInd w:val="0"/>
        <w:snapToGrid w:val="0"/>
        <w:spacing w:line="594" w:lineRule="exact"/>
        <w:jc w:val="center"/>
        <w:rPr>
          <w:rFonts w:eastAsia="方正仿宋_GBK"/>
          <w:sz w:val="32"/>
          <w:szCs w:val="32"/>
        </w:rPr>
      </w:pPr>
    </w:p>
    <w:p w14:paraId="55657262">
      <w:pPr>
        <w:tabs>
          <w:tab w:val="left" w:pos="1440"/>
        </w:tabs>
        <w:adjustRightInd w:val="0"/>
        <w:snapToGrid w:val="0"/>
        <w:spacing w:line="594" w:lineRule="exact"/>
        <w:rPr>
          <w:rFonts w:eastAsia="方正仿宋_GBK"/>
          <w:sz w:val="32"/>
          <w:szCs w:val="32"/>
        </w:rPr>
      </w:pPr>
      <w:r>
        <w:rPr>
          <w:rFonts w:eastAsia="方正仿宋_GBK"/>
          <w:sz w:val="32"/>
          <w:szCs w:val="32"/>
        </w:rPr>
        <w:tab/>
      </w:r>
    </w:p>
    <w:p w14:paraId="3D0FC844">
      <w:pPr>
        <w:overflowPunct w:val="0"/>
        <w:adjustRightInd w:val="0"/>
        <w:snapToGrid w:val="0"/>
        <w:spacing w:line="594" w:lineRule="exact"/>
        <w:jc w:val="left"/>
        <w:rPr>
          <w:rFonts w:eastAsia="方正仿宋_GBK"/>
          <w:sz w:val="32"/>
          <w:szCs w:val="32"/>
        </w:rPr>
      </w:pPr>
      <w:r>
        <w:rPr>
          <w:rFonts w:hint="eastAsia" w:eastAsia="方正仿宋_GBK"/>
          <w:sz w:val="32"/>
          <w:szCs w:val="32"/>
        </w:rPr>
        <w:t>重庆市开州区农业农村委员会</w:t>
      </w:r>
      <w:r>
        <w:pict>
          <v:line id="_x0000_s1026" o:spid="_x0000_s1026" o:spt="20" style="position:absolute;left:0pt;margin-left:-8.6pt;margin-top:27.85pt;height:0pt;width:442.2pt;mso-position-horizontal-relative:margin;z-index:251660288;mso-width-relative:page;mso-height-relative:page;" coordsize="21600,21600" o:gfxdata="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XD747W&#10;AAAACQEAAA8AAAAAAAAAAQAgAAAAIgAAAGRycy9kb3ducmV2LnhtbFBLAQIUABQAAAAIAIdO4kC+&#10;a44Q6QEAALgDAAAOAAAAAAAAAAEAIAAAACUBAABkcnMvZTJvRG9jLnhtbFBLBQYAAAAABgAGAFkB&#10;AACABQAAAAA=&#10;">
            <v:path arrowok="t"/>
            <v:fill focussize="0,0"/>
            <v:stroke/>
            <v:imagedata o:title=""/>
            <o:lock v:ext="edit"/>
          </v:line>
        </w:pict>
      </w:r>
      <w:r>
        <w:pict>
          <v:line id="_x0000_s1027" o:spid="_x0000_s1027" o:spt="20" style="position:absolute;left:0pt;margin-left:-9.45pt;margin-top:2.75pt;height:0pt;width:442.2pt;mso-position-horizontal-relative:margin;z-index:251661312;mso-width-relative:page;mso-height-relative:page;" coordsize="21600,21600" o:gfxdata="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T0kq1QAA&#10;AAcBAAAPAAAAAAAAAAEAIAAAACIAAABkcnMvZG93bnJldi54bWxQSwECFAAUAAAACACHTuJAVEHD&#10;3OgBAAC4AwAADgAAAAAAAAABACAAAAAkAQAAZHJzL2Uyb0RvYy54bWxQSwUGAAAAAAYABgBZAQAA&#10;fgUAAAAA&#10;">
            <v:path arrowok="t"/>
            <v:fill focussize="0,0"/>
            <v:stroke/>
            <v:imagedata o:title=""/>
            <o:lock v:ext="edit"/>
          </v:line>
        </w:pict>
      </w:r>
      <w:r>
        <w:rPr>
          <w:rFonts w:eastAsia="方正仿宋_GBK"/>
          <w:kern w:val="0"/>
          <w:sz w:val="28"/>
          <w:szCs w:val="28"/>
        </w:rPr>
        <w:t>办公室</w:t>
      </w:r>
      <w:r>
        <w:rPr>
          <w:rFonts w:hint="eastAsia" w:eastAsia="方正仿宋_GBK"/>
          <w:kern w:val="0"/>
          <w:sz w:val="28"/>
          <w:szCs w:val="28"/>
          <w:lang w:val="en-US" w:eastAsia="zh-CN"/>
        </w:rPr>
        <w:t xml:space="preserve">    </w:t>
      </w:r>
      <w:bookmarkStart w:id="0" w:name="_GoBack"/>
      <w:bookmarkEnd w:id="0"/>
      <w:r>
        <w:rPr>
          <w:rFonts w:eastAsia="方正仿宋_GBK"/>
          <w:kern w:val="0"/>
          <w:sz w:val="28"/>
          <w:szCs w:val="28"/>
        </w:rPr>
        <w:t>　202</w:t>
      </w:r>
      <w:r>
        <w:rPr>
          <w:rFonts w:hint="eastAsia" w:eastAsia="方正仿宋_GBK"/>
          <w:kern w:val="0"/>
          <w:sz w:val="28"/>
          <w:szCs w:val="28"/>
        </w:rPr>
        <w:t>5</w:t>
      </w:r>
      <w:r>
        <w:rPr>
          <w:rFonts w:eastAsia="方正仿宋_GBK"/>
          <w:kern w:val="0"/>
          <w:sz w:val="28"/>
          <w:szCs w:val="28"/>
        </w:rPr>
        <w:t>年3月</w:t>
      </w:r>
      <w:r>
        <w:rPr>
          <w:rFonts w:hint="eastAsia" w:eastAsia="方正仿宋_GBK"/>
          <w:kern w:val="0"/>
          <w:sz w:val="28"/>
          <w:szCs w:val="28"/>
        </w:rPr>
        <w:t>12</w:t>
      </w:r>
      <w:r>
        <w:rPr>
          <w:rFonts w:eastAsia="方正仿宋_GBK"/>
          <w:kern w:val="0"/>
          <w:sz w:val="28"/>
          <w:szCs w:val="28"/>
        </w:rPr>
        <w:t>日印发</w:t>
      </w:r>
    </w:p>
    <w:sectPr>
      <w:footerReference r:id="rId3" w:type="default"/>
      <w:pgSz w:w="11906" w:h="16838"/>
      <w:pgMar w:top="1984" w:right="1446" w:bottom="198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F49B8">
    <w:pPr>
      <w:pStyle w:val="3"/>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4E80DB9">
                <w:pPr>
                  <w:pStyle w:val="3"/>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C0DFE"/>
    <w:rsid w:val="00015C05"/>
    <w:rsid w:val="00076CF9"/>
    <w:rsid w:val="000A002F"/>
    <w:rsid w:val="00344582"/>
    <w:rsid w:val="00744E6C"/>
    <w:rsid w:val="00C36B5B"/>
    <w:rsid w:val="00CC0DFE"/>
    <w:rsid w:val="00D10129"/>
    <w:rsid w:val="010A478A"/>
    <w:rsid w:val="04070CC6"/>
    <w:rsid w:val="05325803"/>
    <w:rsid w:val="06122C8C"/>
    <w:rsid w:val="07AF3996"/>
    <w:rsid w:val="085D7896"/>
    <w:rsid w:val="0A93759F"/>
    <w:rsid w:val="0C4567EF"/>
    <w:rsid w:val="0F615EBD"/>
    <w:rsid w:val="11A976A8"/>
    <w:rsid w:val="14A32AD4"/>
    <w:rsid w:val="151B6C9E"/>
    <w:rsid w:val="16E703CB"/>
    <w:rsid w:val="17D569DC"/>
    <w:rsid w:val="18992D98"/>
    <w:rsid w:val="19D57E51"/>
    <w:rsid w:val="1A4F23D0"/>
    <w:rsid w:val="1AFF47DC"/>
    <w:rsid w:val="1C0E2F29"/>
    <w:rsid w:val="1C98287B"/>
    <w:rsid w:val="1D8C0801"/>
    <w:rsid w:val="1E4B3FB8"/>
    <w:rsid w:val="20FF5536"/>
    <w:rsid w:val="21D175BF"/>
    <w:rsid w:val="22865AF1"/>
    <w:rsid w:val="23620C95"/>
    <w:rsid w:val="25A32612"/>
    <w:rsid w:val="262F427D"/>
    <w:rsid w:val="26BC4D90"/>
    <w:rsid w:val="26C24B6E"/>
    <w:rsid w:val="27E45486"/>
    <w:rsid w:val="29A0362E"/>
    <w:rsid w:val="29A50C45"/>
    <w:rsid w:val="2ADD1829"/>
    <w:rsid w:val="2B201AAD"/>
    <w:rsid w:val="2B6D2DC4"/>
    <w:rsid w:val="2C201CC1"/>
    <w:rsid w:val="2DC21DC5"/>
    <w:rsid w:val="2DDA38A5"/>
    <w:rsid w:val="2E1A53BE"/>
    <w:rsid w:val="2E773643"/>
    <w:rsid w:val="2F8E3DE2"/>
    <w:rsid w:val="2FBE7744"/>
    <w:rsid w:val="3102072B"/>
    <w:rsid w:val="31097D0B"/>
    <w:rsid w:val="32292413"/>
    <w:rsid w:val="32640FA5"/>
    <w:rsid w:val="351A55B0"/>
    <w:rsid w:val="35504103"/>
    <w:rsid w:val="359D0A22"/>
    <w:rsid w:val="367F6029"/>
    <w:rsid w:val="37B66AED"/>
    <w:rsid w:val="383F6FC9"/>
    <w:rsid w:val="38E97FE0"/>
    <w:rsid w:val="39CB3DB0"/>
    <w:rsid w:val="3A4B4EF0"/>
    <w:rsid w:val="3B60017F"/>
    <w:rsid w:val="3B673FAC"/>
    <w:rsid w:val="3D70539A"/>
    <w:rsid w:val="3DF23EF9"/>
    <w:rsid w:val="3EAD5E20"/>
    <w:rsid w:val="3F1955BD"/>
    <w:rsid w:val="40D774DE"/>
    <w:rsid w:val="417D0085"/>
    <w:rsid w:val="425935D3"/>
    <w:rsid w:val="443C5AF9"/>
    <w:rsid w:val="44695447"/>
    <w:rsid w:val="4541586E"/>
    <w:rsid w:val="465670F7"/>
    <w:rsid w:val="467F1C59"/>
    <w:rsid w:val="46A709E4"/>
    <w:rsid w:val="47064679"/>
    <w:rsid w:val="471054F8"/>
    <w:rsid w:val="4719204C"/>
    <w:rsid w:val="471E6AA4"/>
    <w:rsid w:val="47673B81"/>
    <w:rsid w:val="48DB7593"/>
    <w:rsid w:val="48DF33D4"/>
    <w:rsid w:val="4A186F21"/>
    <w:rsid w:val="4A7638C4"/>
    <w:rsid w:val="4AC07235"/>
    <w:rsid w:val="4ADB5735"/>
    <w:rsid w:val="4C891FD4"/>
    <w:rsid w:val="4E864D45"/>
    <w:rsid w:val="4F0603BF"/>
    <w:rsid w:val="4F2C37C2"/>
    <w:rsid w:val="509B4084"/>
    <w:rsid w:val="51BF7B6A"/>
    <w:rsid w:val="52D47B8E"/>
    <w:rsid w:val="530811B9"/>
    <w:rsid w:val="55286102"/>
    <w:rsid w:val="55F66200"/>
    <w:rsid w:val="575E5119"/>
    <w:rsid w:val="58B10679"/>
    <w:rsid w:val="595219A0"/>
    <w:rsid w:val="5A0031AA"/>
    <w:rsid w:val="5C190553"/>
    <w:rsid w:val="5C89392A"/>
    <w:rsid w:val="5D74191E"/>
    <w:rsid w:val="5D9D624A"/>
    <w:rsid w:val="5DD44580"/>
    <w:rsid w:val="5EA93A06"/>
    <w:rsid w:val="5ED52A53"/>
    <w:rsid w:val="60F02F6C"/>
    <w:rsid w:val="61573FF7"/>
    <w:rsid w:val="61CE21B3"/>
    <w:rsid w:val="63620A31"/>
    <w:rsid w:val="636B3D8A"/>
    <w:rsid w:val="63F77463"/>
    <w:rsid w:val="64803865"/>
    <w:rsid w:val="64B80BD2"/>
    <w:rsid w:val="64E33DF4"/>
    <w:rsid w:val="6632293D"/>
    <w:rsid w:val="67D07628"/>
    <w:rsid w:val="67ED7463"/>
    <w:rsid w:val="67FA392E"/>
    <w:rsid w:val="692D70C3"/>
    <w:rsid w:val="6BCC08DD"/>
    <w:rsid w:val="6D0C54E6"/>
    <w:rsid w:val="6DA2484C"/>
    <w:rsid w:val="6DDD7632"/>
    <w:rsid w:val="705A6C1E"/>
    <w:rsid w:val="705E116B"/>
    <w:rsid w:val="72D0506B"/>
    <w:rsid w:val="72E01973"/>
    <w:rsid w:val="73104006"/>
    <w:rsid w:val="74130252"/>
    <w:rsid w:val="74A013B9"/>
    <w:rsid w:val="75063912"/>
    <w:rsid w:val="75692760"/>
    <w:rsid w:val="75862CA5"/>
    <w:rsid w:val="76014473"/>
    <w:rsid w:val="77D45F4A"/>
    <w:rsid w:val="77ED60AF"/>
    <w:rsid w:val="78056103"/>
    <w:rsid w:val="79490D7D"/>
    <w:rsid w:val="79622952"/>
    <w:rsid w:val="79B55907"/>
    <w:rsid w:val="7C350F81"/>
    <w:rsid w:val="7CB63E70"/>
    <w:rsid w:val="7E064983"/>
    <w:rsid w:val="7E4107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iPriority w:val="0"/>
    <w:pPr>
      <w:ind w:firstLine="640" w:firstLineChars="200"/>
    </w:pPr>
    <w:rPr>
      <w:rFonts w:ascii="仿宋_GB2312" w:eastAsia="仿宋_GB2312"/>
      <w:sz w:val="32"/>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rPr>
      <w:rFonts w:ascii="Calibri" w:hAnsi="Calibri"/>
      <w:szCs w:val="22"/>
    </w:rPr>
  </w:style>
  <w:style w:type="character" w:customStyle="1" w:styleId="8">
    <w:name w:val="页眉 Char"/>
    <w:basedOn w:val="6"/>
    <w:link w:val="4"/>
    <w:qFormat/>
    <w:uiPriority w:val="0"/>
    <w:rPr>
      <w:rFonts w:ascii="Times New Roman" w:hAnsi="Times New Roman" w:eastAsia="宋体" w:cs="Times New Roman"/>
      <w:kern w:val="2"/>
      <w:sz w:val="18"/>
      <w:szCs w:val="18"/>
    </w:rPr>
  </w:style>
  <w:style w:type="character" w:customStyle="1" w:styleId="9">
    <w:name w:val="页脚 Char"/>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Info spid="_x0000_s1028"/>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2282</Words>
  <Characters>2480</Characters>
  <Lines>2</Lines>
  <Paragraphs>5</Paragraphs>
  <TotalTime>5</TotalTime>
  <ScaleCrop>false</ScaleCrop>
  <LinksUpToDate>false</LinksUpToDate>
  <CharactersWithSpaces>2524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2025-03-11T16:19:00Z</dcterms:created>
  <dc:creator>MI</dc:creator>
  <cp:lastModifiedBy>admin</cp:lastModifiedBy>
  <dcterms:modified xsi:type="dcterms:W3CDTF">2025-03-13T02:52:05Z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eyJoZGlkIjoiZTFkMjQ0NTVmMmQzOWU4NTU5ODNmNGI4Y2U2ZTJmNWIifQ==</vt:lpwstr>
  </property>
  <property fmtid="{D5CDD505-2E9C-101B-9397-08002B2CF9AE}" pid="4" name="ICV">
    <vt:lpwstr>07F5E9B0F90F48E18C860879CA27C0F1_12</vt:lpwstr>
  </property>
</Properties>
</file>