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ascii="Times New Roman" w:hAnsi="Times New Roman" w:eastAsia="方正小标宋简体"/>
          <w:kern w:val="0"/>
          <w:sz w:val="44"/>
          <w:szCs w:val="44"/>
        </w:rPr>
        <w:pict>
          <v:group id="_x0000_s1030" o:spid="_x0000_s1030" o:spt="203" style="position:absolute;left:0pt;margin-left:-16.75pt;margin-top:-22.65pt;height:702.8pt;width:484.15pt;z-index:251659264;mso-width-relative:page;mso-height-relative:page;" coordorigin="1088,1677" coordsize="9683,14056">
            <o:lock v:ext="edit" aspectratio="f"/>
            <v:line id="_x0000_s1031" o:spid="_x0000_s1031" o:spt="20" style="position:absolute;left:1133;top:2965;height:0;width:9638;" filled="f" stroked="t" coordsize="21600,21600">
              <v:path arrowok="t"/>
              <v:fill on="f" focussize="0,0"/>
              <v:stroke weight="5pt" color="#FF0000" linestyle="thickThin"/>
              <v:imagedata o:title=""/>
              <o:lock v:ext="edit" aspectratio="f"/>
            </v:line>
            <v:line id="_x0000_s1032" o:spid="_x0000_s1032" o:spt="20" style="position:absolute;left:1088;top:15733;height:0;width:9638;" filled="f" stroked="t" coordsize="21600,21600">
              <v:path arrowok="t"/>
              <v:fill on="f" focussize="0,0"/>
              <v:stroke weight="5pt" color="#FF0000" linestyle="thinThick"/>
              <v:imagedata o:title=""/>
              <o:lock v:ext="edit" aspectratio="f"/>
            </v:line>
            <v:shape id="_x0000_s1033" o:spid="_x0000_s1033" o:spt="136" type="#_x0000_t136" style="position:absolute;left:1556;top:1677;height:1077;width:8901;" fillcolor="#FF0000" filled="t" stroked="t" coordsize="21600,21600" adj="10801">
              <v:path/>
              <v:fill on="t" color2="#FFFFFF" focussize="0,0"/>
              <v:stroke weight="0pt" color="#FF0000"/>
              <v:imagedata o:title=""/>
              <o:lock v:ext="edit" aspectratio="f"/>
              <v:textpath on="t" fitshape="t" fitpath="t" trim="t" xscale="f" string=" 重庆市开州区机关事务管理中心" style="font-family:方正小标宋_GBK;font-size:54pt;v-text-align:center;v-text-spacing:68813f;"/>
            </v:shape>
          </v:group>
        </w:pict>
      </w:r>
    </w:p>
    <w:p>
      <w:pPr>
        <w:keepNext w:val="0"/>
        <w:keepLines w:val="0"/>
        <w:pageBreakBefore w:val="0"/>
        <w:widowControl w:val="0"/>
        <w:kinsoku/>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p>
    <w:p>
      <w:pPr>
        <w:pStyle w:val="2"/>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rPr>
      </w:pP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重庆市开州区机关事务管理中心</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w:t>
      </w:r>
      <w:r>
        <w:rPr>
          <w:rFonts w:hint="eastAsia" w:ascii="Times New Roman" w:hAnsi="Times New Roman" w:eastAsia="方正小标宋_GBK" w:cs="方正小标宋_GBK"/>
          <w:sz w:val="44"/>
          <w:szCs w:val="44"/>
          <w:lang w:eastAsia="zh-CN"/>
        </w:rPr>
        <w:t>区</w:t>
      </w:r>
      <w:r>
        <w:rPr>
          <w:rFonts w:hint="eastAsia" w:ascii="Times New Roman" w:hAnsi="Times New Roman" w:eastAsia="方正小标宋_GBK" w:cs="方正小标宋_GBK"/>
          <w:i w:val="0"/>
          <w:iCs w:val="0"/>
          <w:caps w:val="0"/>
          <w:color w:val="333333"/>
          <w:spacing w:val="0"/>
          <w:sz w:val="44"/>
          <w:szCs w:val="44"/>
          <w:shd w:val="clear" w:color="auto" w:fill="FFFFFF"/>
        </w:rPr>
        <w:t>机关</w:t>
      </w:r>
      <w:r>
        <w:rPr>
          <w:rFonts w:hint="eastAsia" w:ascii="Times New Roman" w:hAnsi="Times New Roman" w:eastAsia="方正小标宋_GBK" w:cs="方正小标宋_GBK"/>
          <w:color w:val="000000"/>
          <w:sz w:val="44"/>
          <w:szCs w:val="44"/>
          <w:lang w:val="en-US" w:eastAsia="zh-CN"/>
        </w:rPr>
        <w:t>运行保障</w:t>
      </w:r>
      <w:r>
        <w:rPr>
          <w:rFonts w:hint="eastAsia" w:ascii="Times New Roman" w:hAnsi="Times New Roman" w:eastAsia="方正小标宋_GBK" w:cs="方正小标宋_GBK"/>
          <w:i w:val="0"/>
          <w:iCs w:val="0"/>
          <w:caps w:val="0"/>
          <w:color w:val="333333"/>
          <w:spacing w:val="0"/>
          <w:sz w:val="44"/>
          <w:szCs w:val="44"/>
          <w:shd w:val="clear" w:color="auto" w:fill="FFFFFF"/>
        </w:rPr>
        <w:t>中心</w:t>
      </w:r>
      <w:r>
        <w:rPr>
          <w:rFonts w:hint="default" w:ascii="Times New Roman" w:hAnsi="Times New Roman" w:eastAsia="方正小标宋_GBK" w:cs="Times New Roman"/>
          <w:sz w:val="44"/>
          <w:szCs w:val="44"/>
        </w:rPr>
        <w:t>2024年部门预算情况</w:t>
      </w:r>
      <w:r>
        <w:rPr>
          <w:rFonts w:hint="eastAsia" w:ascii="Times New Roman" w:hAnsi="Times New Roman" w:eastAsia="方正小标宋_GBK" w:cs="Times New Roman"/>
          <w:sz w:val="44"/>
          <w:szCs w:val="44"/>
          <w:lang w:eastAsia="zh-CN"/>
        </w:rPr>
        <w:t>的公示</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按照有关财政预算公开的部署和要求，依据《中华人民共和国政府信息公开条例》（国务院令第492号）和《重庆市开州区财政局关于批复</w:t>
      </w:r>
      <w:r>
        <w:rPr>
          <w:rFonts w:hint="default" w:ascii="Times New Roman" w:hAnsi="Times New Roman" w:eastAsia="方正仿宋_GBK" w:cs="Times New Roman"/>
          <w:sz w:val="32"/>
          <w:szCs w:val="32"/>
          <w:lang w:eastAsia="zh-CN"/>
        </w:rPr>
        <w:t>区机关事务中心</w:t>
      </w: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eastAsia="zh-CN"/>
        </w:rPr>
        <w:t>区级</w:t>
      </w:r>
      <w:r>
        <w:rPr>
          <w:rFonts w:hint="default" w:ascii="Times New Roman" w:hAnsi="Times New Roman" w:eastAsia="方正仿宋_GBK" w:cs="Times New Roman"/>
          <w:sz w:val="32"/>
          <w:szCs w:val="32"/>
        </w:rPr>
        <w:t>部门预算的通知》（开</w:t>
      </w:r>
      <w:r>
        <w:rPr>
          <w:rFonts w:hint="default" w:ascii="Times New Roman" w:hAnsi="Times New Roman" w:eastAsia="方正仿宋_GBK" w:cs="Times New Roman"/>
          <w:sz w:val="32"/>
          <w:szCs w:val="32"/>
          <w:lang w:eastAsia="zh-CN"/>
        </w:rPr>
        <w:t>州</w:t>
      </w:r>
      <w:r>
        <w:rPr>
          <w:rFonts w:hint="default" w:ascii="Times New Roman" w:hAnsi="Times New Roman" w:eastAsia="方正仿宋_GBK" w:cs="Times New Roman"/>
          <w:sz w:val="32"/>
          <w:szCs w:val="32"/>
        </w:rPr>
        <w:t>财</w:t>
      </w:r>
      <w:r>
        <w:rPr>
          <w:rFonts w:hint="default" w:ascii="Times New Roman" w:hAnsi="Times New Roman" w:eastAsia="方正仿宋_GBK" w:cs="Times New Roman"/>
          <w:sz w:val="32"/>
          <w:szCs w:val="32"/>
          <w:lang w:eastAsia="zh-CN"/>
        </w:rPr>
        <w:t>行发</w:t>
      </w:r>
      <w:r>
        <w:rPr>
          <w:rFonts w:hint="default" w:ascii="Times New Roman" w:hAnsi="Times New Roman" w:eastAsia="方正仿宋_GBK" w:cs="Times New Roman"/>
          <w:sz w:val="32"/>
          <w:szCs w:val="32"/>
        </w:rPr>
        <w:t>〔2024〕</w:t>
      </w:r>
      <w:r>
        <w:rPr>
          <w:rFonts w:hint="default"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kern w:val="2"/>
          <w:sz w:val="32"/>
          <w:szCs w:val="32"/>
          <w:lang w:val="en-US" w:eastAsia="zh-CN" w:bidi="ar-SA"/>
        </w:rPr>
        <w:t>重庆市开州区机关</w:t>
      </w:r>
      <w:r>
        <w:rPr>
          <w:rFonts w:hint="eastAsia" w:ascii="Times New Roman" w:hAnsi="Times New Roman" w:eastAsia="方正仿宋_GBK" w:cs="Times New Roman"/>
          <w:kern w:val="2"/>
          <w:sz w:val="32"/>
          <w:szCs w:val="32"/>
          <w:lang w:val="en-US" w:eastAsia="zh-CN" w:bidi="ar-SA"/>
        </w:rPr>
        <w:t>运行保障</w:t>
      </w:r>
      <w:r>
        <w:rPr>
          <w:rFonts w:hint="default" w:ascii="Times New Roman" w:hAnsi="Times New Roman" w:eastAsia="方正仿宋_GBK" w:cs="Times New Roman"/>
          <w:kern w:val="2"/>
          <w:sz w:val="32"/>
          <w:szCs w:val="32"/>
          <w:lang w:val="en-US" w:eastAsia="zh-CN" w:bidi="ar-SA"/>
        </w:rPr>
        <w:t>中心</w:t>
      </w:r>
      <w:r>
        <w:rPr>
          <w:rFonts w:hint="default" w:ascii="Times New Roman" w:hAnsi="Times New Roman" w:eastAsia="方正仿宋_GBK" w:cs="Times New Roman"/>
          <w:sz w:val="32"/>
          <w:szCs w:val="32"/>
        </w:rPr>
        <w:t>2024年部门预算批复情况</w:t>
      </w:r>
      <w:r>
        <w:rPr>
          <w:rFonts w:hint="eastAsia" w:ascii="Times New Roman" w:hAnsi="Times New Roman" w:eastAsia="方正仿宋_GBK" w:cs="Times New Roman"/>
          <w:sz w:val="32"/>
          <w:szCs w:val="32"/>
          <w:lang w:eastAsia="zh-CN"/>
        </w:rPr>
        <w:t>公示如下。</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lang w:eastAsia="zh-CN"/>
        </w:rPr>
      </w:pPr>
    </w:p>
    <w:p>
      <w:pPr>
        <w:keepNext w:val="0"/>
        <w:keepLines w:val="0"/>
        <w:pageBreakBefore w:val="0"/>
        <w:widowControl/>
        <w:kinsoku/>
        <w:wordWrap/>
        <w:overflowPunct/>
        <w:topLinePunct w:val="0"/>
        <w:autoSpaceDE/>
        <w:autoSpaceDN/>
        <w:bidi w:val="0"/>
        <w:adjustRightInd/>
        <w:snapToGrid/>
        <w:spacing w:line="594" w:lineRule="exact"/>
        <w:ind w:firstLine="3840" w:firstLineChars="1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重庆市开州区机关事务管理中心</w:t>
      </w:r>
    </w:p>
    <w:p>
      <w:pPr>
        <w:keepNext w:val="0"/>
        <w:keepLines w:val="0"/>
        <w:pageBreakBefore w:val="0"/>
        <w:widowControl/>
        <w:kinsoku/>
        <w:wordWrap/>
        <w:overflowPunct/>
        <w:topLinePunct w:val="0"/>
        <w:autoSpaceDE/>
        <w:autoSpaceDN/>
        <w:bidi w:val="0"/>
        <w:adjustRightInd/>
        <w:snapToGrid/>
        <w:spacing w:line="594" w:lineRule="exact"/>
        <w:ind w:firstLine="4800" w:firstLineChars="1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sectPr>
          <w:footerReference r:id="rId3" w:type="default"/>
          <w:pgSz w:w="11906" w:h="16838"/>
          <w:pgMar w:top="1984" w:right="1446" w:bottom="1644" w:left="1446" w:header="851" w:footer="1474" w:gutter="0"/>
          <w:pgNumType w:fmt="decimal" w:start="2"/>
          <w:cols w:space="425" w:num="1"/>
          <w:docGrid w:type="lines" w:linePitch="312" w:charSpace="0"/>
        </w:sect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目    录</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第一部分：2024年部门预算情况说明</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一、单位基本情况</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二、部门收支总体情况</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三、部门预算情况说明</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四、“三公”经费情况说明</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五、其他重要事项的情况说明</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六、专业性名词解释</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第二部分：2024年部门预算公开报表</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表1、重庆市开州区机关运行保障中心收支预算总表</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表2、重庆市开州区机关运行保障中心收入总表</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表3、</w:t>
      </w:r>
      <w:r>
        <w:rPr>
          <w:rFonts w:hint="eastAsia" w:ascii="Times New Roman" w:hAnsi="Times New Roman" w:eastAsia="方正仿宋_GBK" w:cs="方正仿宋_GBK"/>
          <w:kern w:val="2"/>
          <w:sz w:val="32"/>
          <w:szCs w:val="32"/>
          <w:lang w:val="en-US" w:eastAsia="zh-CN" w:bidi="ar-SA"/>
        </w:rPr>
        <w:t>重庆市开州区机关运行保障中心</w:t>
      </w:r>
      <w:r>
        <w:rPr>
          <w:rFonts w:hint="eastAsia" w:ascii="Times New Roman" w:hAnsi="Times New Roman" w:eastAsia="方正仿宋_GBK" w:cs="方正仿宋_GBK"/>
          <w:sz w:val="32"/>
          <w:szCs w:val="32"/>
        </w:rPr>
        <w:t>本年支出预算总表</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表4、</w:t>
      </w:r>
      <w:r>
        <w:rPr>
          <w:rFonts w:hint="eastAsia" w:ascii="Times New Roman" w:hAnsi="Times New Roman" w:eastAsia="方正仿宋_GBK" w:cs="方正仿宋_GBK"/>
          <w:kern w:val="2"/>
          <w:sz w:val="32"/>
          <w:szCs w:val="32"/>
          <w:lang w:val="en-US" w:eastAsia="zh-CN" w:bidi="ar-SA"/>
        </w:rPr>
        <w:t>重庆市开州区机关运行保障中心</w:t>
      </w:r>
      <w:r>
        <w:rPr>
          <w:rFonts w:hint="eastAsia" w:ascii="Times New Roman" w:hAnsi="Times New Roman" w:eastAsia="方正仿宋_GBK" w:cs="方正仿宋_GBK"/>
          <w:sz w:val="32"/>
          <w:szCs w:val="32"/>
        </w:rPr>
        <w:t>财政拨款收支预算总表</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表5、</w:t>
      </w:r>
      <w:r>
        <w:rPr>
          <w:rFonts w:hint="eastAsia" w:ascii="Times New Roman" w:hAnsi="Times New Roman" w:eastAsia="方正仿宋_GBK" w:cs="方正仿宋_GBK"/>
          <w:spacing w:val="-11"/>
          <w:kern w:val="2"/>
          <w:sz w:val="32"/>
          <w:szCs w:val="32"/>
          <w:lang w:val="en-US" w:eastAsia="zh-CN" w:bidi="ar-SA"/>
        </w:rPr>
        <w:t>重庆市开州区机关运行保障中心</w:t>
      </w:r>
      <w:r>
        <w:rPr>
          <w:rFonts w:hint="eastAsia" w:ascii="Times New Roman" w:hAnsi="Times New Roman" w:eastAsia="方正仿宋_GBK" w:cs="方正仿宋_GBK"/>
          <w:spacing w:val="-11"/>
          <w:sz w:val="32"/>
          <w:szCs w:val="32"/>
        </w:rPr>
        <w:t>本年一般公共预算支出预算表</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表6、</w:t>
      </w:r>
      <w:r>
        <w:rPr>
          <w:rFonts w:hint="eastAsia" w:ascii="Times New Roman" w:hAnsi="Times New Roman" w:eastAsia="方正仿宋_GBK" w:cs="方正仿宋_GBK"/>
          <w:spacing w:val="-11"/>
          <w:kern w:val="2"/>
          <w:sz w:val="32"/>
          <w:szCs w:val="32"/>
          <w:lang w:val="en-US" w:eastAsia="zh-CN" w:bidi="ar-SA"/>
        </w:rPr>
        <w:t>重庆市开州区机关运行保障中心</w:t>
      </w:r>
      <w:r>
        <w:rPr>
          <w:rFonts w:hint="eastAsia" w:ascii="Times New Roman" w:hAnsi="Times New Roman" w:eastAsia="方正仿宋_GBK" w:cs="方正仿宋_GBK"/>
          <w:spacing w:val="-11"/>
          <w:sz w:val="32"/>
          <w:szCs w:val="32"/>
        </w:rPr>
        <w:t>一般公共预算基本支出预算表</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表7、</w:t>
      </w:r>
      <w:r>
        <w:rPr>
          <w:rFonts w:hint="eastAsia" w:ascii="Times New Roman" w:hAnsi="Times New Roman" w:eastAsia="方正仿宋_GBK" w:cs="方正仿宋_GBK"/>
          <w:kern w:val="2"/>
          <w:sz w:val="32"/>
          <w:szCs w:val="32"/>
          <w:lang w:val="en-US" w:eastAsia="zh-CN" w:bidi="ar-SA"/>
        </w:rPr>
        <w:t>重庆市开州区机关运行保障中心</w:t>
      </w:r>
      <w:r>
        <w:rPr>
          <w:rFonts w:hint="eastAsia" w:ascii="Times New Roman" w:hAnsi="Times New Roman" w:eastAsia="方正仿宋_GBK" w:cs="方正仿宋_GBK"/>
          <w:sz w:val="32"/>
          <w:szCs w:val="32"/>
        </w:rPr>
        <w:t>一般公共预算“三公”经费支出预算表</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表8、</w:t>
      </w:r>
      <w:r>
        <w:rPr>
          <w:rFonts w:hint="eastAsia" w:ascii="Times New Roman" w:hAnsi="Times New Roman" w:eastAsia="方正仿宋_GBK" w:cs="方正仿宋_GBK"/>
          <w:spacing w:val="-6"/>
          <w:kern w:val="2"/>
          <w:sz w:val="32"/>
          <w:szCs w:val="32"/>
          <w:lang w:val="en-US" w:eastAsia="zh-CN" w:bidi="ar-SA"/>
        </w:rPr>
        <w:t>重庆市开州区机关运行保障中心</w:t>
      </w:r>
      <w:r>
        <w:rPr>
          <w:rFonts w:hint="eastAsia" w:ascii="Times New Roman" w:hAnsi="Times New Roman" w:eastAsia="方正仿宋_GBK" w:cs="方正仿宋_GBK"/>
          <w:spacing w:val="-6"/>
          <w:sz w:val="32"/>
          <w:szCs w:val="32"/>
        </w:rPr>
        <w:t>政府性基金预算支出预算表</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表9、</w:t>
      </w:r>
      <w:r>
        <w:rPr>
          <w:rFonts w:hint="eastAsia" w:ascii="Times New Roman" w:hAnsi="Times New Roman" w:eastAsia="方正仿宋_GBK" w:cs="方正仿宋_GBK"/>
          <w:spacing w:val="-11"/>
          <w:kern w:val="2"/>
          <w:sz w:val="32"/>
          <w:szCs w:val="32"/>
          <w:lang w:val="en-US" w:eastAsia="zh-CN" w:bidi="ar-SA"/>
        </w:rPr>
        <w:t>重庆市开州区机关运行保障中心</w:t>
      </w:r>
      <w:r>
        <w:rPr>
          <w:rFonts w:hint="eastAsia" w:ascii="Times New Roman" w:hAnsi="Times New Roman" w:eastAsia="方正仿宋_GBK" w:cs="方正仿宋_GBK"/>
          <w:spacing w:val="-11"/>
          <w:sz w:val="32"/>
          <w:szCs w:val="32"/>
        </w:rPr>
        <w:t>国有资本经营预算支出预算表</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表10、</w:t>
      </w:r>
      <w:r>
        <w:rPr>
          <w:rFonts w:hint="eastAsia" w:ascii="Times New Roman" w:hAnsi="Times New Roman" w:eastAsia="方正仿宋_GBK" w:cs="方正仿宋_GBK"/>
          <w:kern w:val="2"/>
          <w:sz w:val="32"/>
          <w:szCs w:val="32"/>
          <w:lang w:val="en-US" w:eastAsia="zh-CN" w:bidi="ar-SA"/>
        </w:rPr>
        <w:t>重庆市开州区机关运行保障中心</w:t>
      </w:r>
      <w:r>
        <w:rPr>
          <w:rFonts w:hint="eastAsia" w:ascii="Times New Roman" w:hAnsi="Times New Roman" w:eastAsia="方正仿宋_GBK" w:cs="方正仿宋_GBK"/>
          <w:sz w:val="32"/>
          <w:szCs w:val="32"/>
        </w:rPr>
        <w:t>项目支出表</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default" w:ascii="Times New Roman" w:hAnsi="Times New Roman" w:eastAsia="方正仿宋_GBK" w:cs="方正仿宋_GBK"/>
          <w:sz w:val="32"/>
          <w:szCs w:val="32"/>
        </w:rPr>
        <w:t>表11、</w:t>
      </w:r>
      <w:r>
        <w:rPr>
          <w:rFonts w:hint="default" w:ascii="Times New Roman" w:hAnsi="Times New Roman" w:eastAsia="方正仿宋_GBK" w:cs="方正仿宋_GBK"/>
          <w:sz w:val="32"/>
          <w:szCs w:val="32"/>
          <w:lang w:val="en-US" w:eastAsia="zh-CN"/>
        </w:rPr>
        <w:t>重庆市开州区机关</w:t>
      </w:r>
      <w:r>
        <w:rPr>
          <w:rFonts w:hint="eastAsia" w:ascii="Times New Roman" w:hAnsi="Times New Roman" w:eastAsia="方正仿宋_GBK" w:cs="方正仿宋_GBK"/>
          <w:sz w:val="32"/>
          <w:szCs w:val="32"/>
          <w:lang w:val="en-US" w:eastAsia="zh-CN"/>
        </w:rPr>
        <w:t>运行保障中心</w:t>
      </w:r>
      <w:r>
        <w:rPr>
          <w:rFonts w:hint="default" w:ascii="Times New Roman" w:hAnsi="Times New Roman" w:eastAsia="方正仿宋_GBK" w:cs="方正仿宋_GBK"/>
          <w:sz w:val="32"/>
          <w:szCs w:val="32"/>
        </w:rPr>
        <w:t>项目绩效目标表</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小标宋_GBK" w:cs="方正小标宋_GBK"/>
          <w:sz w:val="44"/>
          <w:szCs w:val="44"/>
        </w:rPr>
        <w:t>第一部分：2024年部门预算情况说明</w:t>
      </w:r>
    </w:p>
    <w:p>
      <w:pPr>
        <w:keepNext w:val="0"/>
        <w:keepLines w:val="0"/>
        <w:pageBreakBefore w:val="0"/>
        <w:widowControl w:val="0"/>
        <w:kinsoku/>
        <w:wordWrap/>
        <w:overflowPunct/>
        <w:topLinePunct w:val="0"/>
        <w:autoSpaceDE/>
        <w:autoSpaceDN/>
        <w:bidi w:val="0"/>
        <w:adjustRightInd/>
        <w:spacing w:line="594" w:lineRule="exact"/>
        <w:ind w:left="64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94" w:lineRule="exact"/>
        <w:ind w:left="64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一、单位基本情况</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（一）职能职责</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333333"/>
          <w:spacing w:val="0"/>
          <w:sz w:val="32"/>
          <w:szCs w:val="32"/>
          <w:shd w:val="clear" w:color="auto" w:fill="FFFFFF"/>
        </w:rPr>
        <w:t>一是</w:t>
      </w:r>
      <w:r>
        <w:rPr>
          <w:rFonts w:hint="eastAsia" w:ascii="Times New Roman" w:hAnsi="Times New Roman" w:eastAsia="方正仿宋_GBK" w:cs="方正仿宋_GBK"/>
          <w:sz w:val="32"/>
          <w:szCs w:val="32"/>
        </w:rPr>
        <w:t>承担区级机关食堂运行保障日常工作。</w:t>
      </w:r>
      <w:r>
        <w:rPr>
          <w:rFonts w:hint="eastAsia" w:ascii="Times New Roman" w:hAnsi="Times New Roman" w:eastAsia="方正仿宋_GBK" w:cs="方正仿宋_GBK"/>
          <w:sz w:val="32"/>
          <w:szCs w:val="32"/>
          <w:lang w:val="en-US" w:eastAsia="zh-CN"/>
        </w:rPr>
        <w:t>二是</w:t>
      </w:r>
      <w:r>
        <w:rPr>
          <w:rFonts w:hint="eastAsia" w:ascii="Times New Roman" w:hAnsi="Times New Roman" w:eastAsia="方正仿宋_GBK" w:cs="方正仿宋_GBK"/>
          <w:sz w:val="32"/>
          <w:szCs w:val="32"/>
        </w:rPr>
        <w:t>承担区级机关综合办公楼设施设备维护、保洁、绿化等相关物业服务工作。</w:t>
      </w:r>
      <w:r>
        <w:rPr>
          <w:rFonts w:hint="eastAsia" w:ascii="Times New Roman" w:hAnsi="Times New Roman" w:eastAsia="方正仿宋_GBK" w:cs="方正仿宋_GBK"/>
          <w:sz w:val="32"/>
          <w:szCs w:val="32"/>
          <w:lang w:val="en-US" w:eastAsia="zh-CN"/>
        </w:rPr>
        <w:t>三是</w:t>
      </w:r>
      <w:r>
        <w:rPr>
          <w:rFonts w:hint="eastAsia" w:ascii="Times New Roman" w:hAnsi="Times New Roman" w:eastAsia="方正仿宋_GBK" w:cs="方正仿宋_GBK"/>
          <w:sz w:val="32"/>
          <w:szCs w:val="32"/>
        </w:rPr>
        <w:t>承担区级机关综合办公楼及其周边区域的安全保卫工作。</w:t>
      </w:r>
      <w:r>
        <w:rPr>
          <w:rFonts w:hint="eastAsia" w:ascii="Times New Roman" w:hAnsi="Times New Roman" w:eastAsia="方正仿宋_GBK" w:cs="方正仿宋_GBK"/>
          <w:sz w:val="32"/>
          <w:szCs w:val="32"/>
          <w:lang w:val="en-US" w:eastAsia="zh-CN"/>
        </w:rPr>
        <w:t>四是</w:t>
      </w:r>
      <w:r>
        <w:rPr>
          <w:rFonts w:hint="eastAsia" w:ascii="Times New Roman" w:hAnsi="Times New Roman" w:eastAsia="方正仿宋_GBK" w:cs="方正仿宋_GBK"/>
          <w:sz w:val="32"/>
          <w:szCs w:val="32"/>
        </w:rPr>
        <w:t>承担区级大、中型会议的服务工作。</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楷体_GBK" w:cs="方正楷体_GBK"/>
          <w:sz w:val="32"/>
          <w:szCs w:val="32"/>
        </w:rPr>
      </w:pPr>
      <w:r>
        <w:rPr>
          <w:rFonts w:hint="eastAsia" w:eastAsia="方正楷体_GBK" w:cs="方正楷体_GBK"/>
          <w:sz w:val="32"/>
          <w:szCs w:val="32"/>
          <w:lang w:eastAsia="zh-CN"/>
        </w:rPr>
        <w:t>（二）</w:t>
      </w:r>
      <w:r>
        <w:rPr>
          <w:rFonts w:hint="eastAsia" w:ascii="Times New Roman" w:hAnsi="Times New Roman" w:eastAsia="方正楷体_GBK" w:cs="方正楷体_GBK"/>
          <w:sz w:val="32"/>
          <w:szCs w:val="32"/>
        </w:rPr>
        <w:t>单位构成</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重庆市开州区机关</w:t>
      </w:r>
      <w:r>
        <w:rPr>
          <w:rFonts w:hint="eastAsia" w:ascii="Times New Roman" w:hAnsi="Times New Roman" w:eastAsia="方正仿宋_GBK" w:cs="方正仿宋_GBK"/>
          <w:sz w:val="32"/>
          <w:szCs w:val="32"/>
          <w:lang w:eastAsia="zh-CN"/>
        </w:rPr>
        <w:t>运行保障</w:t>
      </w:r>
      <w:r>
        <w:rPr>
          <w:rFonts w:hint="eastAsia" w:ascii="Times New Roman" w:hAnsi="Times New Roman" w:eastAsia="方正仿宋_GBK" w:cs="方正仿宋_GBK"/>
          <w:sz w:val="32"/>
          <w:szCs w:val="32"/>
        </w:rPr>
        <w:t>中心</w:t>
      </w:r>
      <w:r>
        <w:rPr>
          <w:rFonts w:hint="eastAsia" w:ascii="Times New Roman" w:hAnsi="Times New Roman" w:eastAsia="方正仿宋_GBK" w:cs="方正仿宋_GBK"/>
          <w:sz w:val="32"/>
          <w:szCs w:val="32"/>
          <w:lang w:eastAsia="zh-CN"/>
        </w:rPr>
        <w:t>属</w:t>
      </w:r>
      <w:r>
        <w:rPr>
          <w:rFonts w:hint="default" w:ascii="Times New Roman" w:hAnsi="Times New Roman" w:eastAsia="方正仿宋_GBK" w:cs="方正仿宋_GBK"/>
          <w:sz w:val="32"/>
          <w:szCs w:val="32"/>
        </w:rPr>
        <w:t>重庆市开州区机关事务管理中心</w:t>
      </w:r>
      <w:r>
        <w:rPr>
          <w:rFonts w:hint="eastAsia" w:ascii="Times New Roman" w:hAnsi="Times New Roman" w:eastAsia="方正仿宋_GBK" w:cs="方正仿宋_GBK"/>
          <w:sz w:val="32"/>
          <w:szCs w:val="32"/>
          <w:lang w:eastAsia="zh-CN"/>
        </w:rPr>
        <w:t>二级预算单位，</w:t>
      </w:r>
      <w:r>
        <w:rPr>
          <w:rFonts w:hint="eastAsia" w:ascii="Times New Roman" w:hAnsi="Times New Roman" w:eastAsia="方正仿宋_GBK" w:cs="方正仿宋_GBK"/>
          <w:sz w:val="32"/>
          <w:szCs w:val="32"/>
          <w:lang w:val="en-US" w:eastAsia="zh-CN"/>
        </w:rPr>
        <w:t>无内设机构。</w:t>
      </w:r>
    </w:p>
    <w:p>
      <w:pPr>
        <w:keepNext w:val="0"/>
        <w:keepLines w:val="0"/>
        <w:pageBreakBefore w:val="0"/>
        <w:widowControl w:val="0"/>
        <w:kinsoku/>
        <w:wordWrap/>
        <w:overflowPunct/>
        <w:topLinePunct w:val="0"/>
        <w:autoSpaceDE/>
        <w:autoSpaceDN/>
        <w:bidi w:val="0"/>
        <w:adjustRightInd/>
        <w:spacing w:line="594" w:lineRule="exact"/>
        <w:ind w:left="64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二、部门收支总体情况</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（一）收入预算：</w:t>
      </w:r>
      <w:r>
        <w:rPr>
          <w:rFonts w:hint="eastAsia" w:ascii="Times New Roman" w:hAnsi="Times New Roman" w:eastAsia="方正仿宋_GBK" w:cs="方正仿宋_GBK"/>
          <w:sz w:val="32"/>
          <w:szCs w:val="32"/>
        </w:rPr>
        <w:t>2024年年初预算数321.32万元，其中：一般公共预算拨款321.32万元，政府性基金预算拨款</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万元，国有资本经营预算收入</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万元，事业收入</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万元，事业单位经营收入</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万元，其他收入</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（二）支出预算：</w:t>
      </w:r>
      <w:r>
        <w:rPr>
          <w:rFonts w:hint="eastAsia" w:ascii="Times New Roman" w:hAnsi="Times New Roman" w:eastAsia="方正仿宋_GBK" w:cs="方正仿宋_GBK"/>
          <w:sz w:val="32"/>
          <w:szCs w:val="32"/>
        </w:rPr>
        <w:t>2024年年初预算数</w:t>
      </w:r>
      <w:r>
        <w:rPr>
          <w:rFonts w:hint="eastAsia" w:ascii="Times New Roman" w:hAnsi="Times New Roman" w:eastAsia="方正仿宋_GBK" w:cs="方正仿宋_GBK"/>
          <w:sz w:val="32"/>
          <w:szCs w:val="32"/>
          <w:lang w:val="en-US" w:eastAsia="zh-CN"/>
        </w:rPr>
        <w:t>321.32</w:t>
      </w:r>
      <w:r>
        <w:rPr>
          <w:rFonts w:hint="eastAsia" w:ascii="Times New Roman" w:hAnsi="Times New Roman" w:eastAsia="方正仿宋_GBK" w:cs="方正仿宋_GBK"/>
          <w:sz w:val="32"/>
          <w:szCs w:val="32"/>
        </w:rPr>
        <w:t>万元，其中：一</w:t>
      </w:r>
      <w:r>
        <w:rPr>
          <w:rFonts w:hint="eastAsia" w:ascii="Times New Roman" w:hAnsi="Times New Roman" w:eastAsia="方正仿宋_GBK" w:cs="方正仿宋_GBK"/>
          <w:spacing w:val="-6"/>
          <w:sz w:val="32"/>
          <w:szCs w:val="32"/>
        </w:rPr>
        <w:t>般公共服务支出预算</w:t>
      </w:r>
      <w:r>
        <w:rPr>
          <w:rFonts w:hint="eastAsia" w:ascii="Times New Roman" w:hAnsi="Times New Roman" w:eastAsia="方正仿宋_GBK" w:cs="方正仿宋_GBK"/>
          <w:spacing w:val="-6"/>
          <w:sz w:val="32"/>
          <w:szCs w:val="32"/>
          <w:lang w:val="en-US" w:eastAsia="zh-CN"/>
        </w:rPr>
        <w:t>222.45</w:t>
      </w:r>
      <w:r>
        <w:rPr>
          <w:rFonts w:hint="eastAsia" w:ascii="Times New Roman" w:hAnsi="Times New Roman" w:eastAsia="方正仿宋_GBK" w:cs="方正仿宋_GBK"/>
          <w:spacing w:val="-6"/>
          <w:sz w:val="32"/>
          <w:szCs w:val="32"/>
        </w:rPr>
        <w:t>万元，社会保障和就业支出预算</w:t>
      </w:r>
      <w:r>
        <w:rPr>
          <w:rFonts w:hint="eastAsia" w:ascii="Times New Roman" w:hAnsi="Times New Roman" w:eastAsia="方正仿宋_GBK" w:cs="方正仿宋_GBK"/>
          <w:spacing w:val="-6"/>
          <w:sz w:val="32"/>
          <w:szCs w:val="32"/>
          <w:lang w:val="en-US" w:eastAsia="zh-CN"/>
        </w:rPr>
        <w:t>67.38</w:t>
      </w:r>
      <w:r>
        <w:rPr>
          <w:rFonts w:hint="eastAsia" w:ascii="Times New Roman" w:hAnsi="Times New Roman" w:eastAsia="方正仿宋_GBK" w:cs="方正仿宋_GBK"/>
          <w:spacing w:val="-6"/>
          <w:sz w:val="32"/>
          <w:szCs w:val="32"/>
        </w:rPr>
        <w:t>万元，卫生健康支出预算</w:t>
      </w:r>
      <w:r>
        <w:rPr>
          <w:rFonts w:hint="eastAsia" w:ascii="Times New Roman" w:hAnsi="Times New Roman" w:eastAsia="方正仿宋_GBK" w:cs="方正仿宋_GBK"/>
          <w:spacing w:val="-6"/>
          <w:sz w:val="32"/>
          <w:szCs w:val="32"/>
          <w:lang w:val="en-US" w:eastAsia="zh-CN"/>
        </w:rPr>
        <w:t>17.35</w:t>
      </w:r>
      <w:r>
        <w:rPr>
          <w:rFonts w:hint="eastAsia" w:ascii="Times New Roman" w:hAnsi="Times New Roman" w:eastAsia="方正仿宋_GBK" w:cs="方正仿宋_GBK"/>
          <w:spacing w:val="-6"/>
          <w:sz w:val="32"/>
          <w:szCs w:val="32"/>
        </w:rPr>
        <w:t>万元，住房保障支出预算</w:t>
      </w:r>
      <w:r>
        <w:rPr>
          <w:rFonts w:hint="eastAsia" w:ascii="Times New Roman" w:hAnsi="Times New Roman" w:eastAsia="方正仿宋_GBK" w:cs="方正仿宋_GBK"/>
          <w:spacing w:val="-6"/>
          <w:sz w:val="32"/>
          <w:szCs w:val="32"/>
          <w:lang w:val="en-US" w:eastAsia="zh-CN"/>
        </w:rPr>
        <w:t>14.14</w:t>
      </w:r>
      <w:r>
        <w:rPr>
          <w:rFonts w:hint="eastAsia" w:ascii="Times New Roman" w:hAnsi="Times New Roman" w:eastAsia="方正仿宋_GBK" w:cs="方正仿宋_GBK"/>
          <w:spacing w:val="-6"/>
          <w:sz w:val="32"/>
          <w:szCs w:val="32"/>
        </w:rPr>
        <w:t>万元。</w:t>
      </w:r>
    </w:p>
    <w:p>
      <w:pPr>
        <w:keepNext w:val="0"/>
        <w:keepLines w:val="0"/>
        <w:pageBreakBefore w:val="0"/>
        <w:widowControl w:val="0"/>
        <w:kinsoku/>
        <w:wordWrap/>
        <w:overflowPunct/>
        <w:topLinePunct w:val="0"/>
        <w:autoSpaceDE/>
        <w:autoSpaceDN/>
        <w:bidi w:val="0"/>
        <w:adjustRightInd/>
        <w:spacing w:line="594" w:lineRule="exact"/>
        <w:ind w:left="64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三、部门预算情况说明</w:t>
      </w:r>
    </w:p>
    <w:p>
      <w:pPr>
        <w:keepNext w:val="0"/>
        <w:keepLines w:val="0"/>
        <w:pageBreakBefore w:val="0"/>
        <w:widowControl w:val="0"/>
        <w:kinsoku/>
        <w:wordWrap/>
        <w:overflowPunct/>
        <w:topLinePunct w:val="0"/>
        <w:autoSpaceDE/>
        <w:autoSpaceDN/>
        <w:bidi w:val="0"/>
        <w:adjustRightInd/>
        <w:spacing w:line="594" w:lineRule="exact"/>
        <w:ind w:firstLine="616" w:firstLineChars="200"/>
        <w:textAlignment w:val="auto"/>
        <w:rPr>
          <w:rFonts w:hint="eastAsia" w:ascii="Times New Roman" w:hAnsi="Times New Roman" w:eastAsia="方正仿宋_GBK" w:cs="方正仿宋_GBK"/>
          <w:spacing w:val="-6"/>
          <w:sz w:val="32"/>
          <w:szCs w:val="32"/>
          <w:lang w:eastAsia="zh-CN"/>
        </w:rPr>
      </w:pPr>
      <w:r>
        <w:rPr>
          <w:rFonts w:hint="eastAsia" w:ascii="Times New Roman" w:hAnsi="Times New Roman" w:eastAsia="方正仿宋_GBK" w:cs="方正仿宋_GBK"/>
          <w:spacing w:val="-6"/>
          <w:sz w:val="32"/>
          <w:szCs w:val="32"/>
        </w:rPr>
        <w:t>2024年一般公共预算财政拨款收入</w:t>
      </w:r>
      <w:r>
        <w:rPr>
          <w:rFonts w:hint="eastAsia" w:ascii="Times New Roman" w:hAnsi="Times New Roman" w:eastAsia="方正仿宋_GBK" w:cs="方正仿宋_GBK"/>
          <w:spacing w:val="-6"/>
          <w:sz w:val="32"/>
          <w:szCs w:val="32"/>
          <w:lang w:val="en-US" w:eastAsia="zh-CN"/>
        </w:rPr>
        <w:t>321.32</w:t>
      </w:r>
      <w:r>
        <w:rPr>
          <w:rFonts w:hint="eastAsia" w:ascii="Times New Roman" w:hAnsi="Times New Roman" w:eastAsia="方正仿宋_GBK" w:cs="方正仿宋_GBK"/>
          <w:spacing w:val="-6"/>
          <w:sz w:val="32"/>
          <w:szCs w:val="32"/>
        </w:rPr>
        <w:t>万元，一般公共预算财政拨款支出</w:t>
      </w:r>
      <w:r>
        <w:rPr>
          <w:rFonts w:hint="eastAsia" w:ascii="Times New Roman" w:hAnsi="Times New Roman" w:eastAsia="方正仿宋_GBK" w:cs="方正仿宋_GBK"/>
          <w:spacing w:val="-6"/>
          <w:sz w:val="32"/>
          <w:szCs w:val="32"/>
          <w:lang w:val="en-US" w:eastAsia="zh-CN"/>
        </w:rPr>
        <w:t>321.32</w:t>
      </w:r>
      <w:r>
        <w:rPr>
          <w:rFonts w:hint="eastAsia" w:ascii="Times New Roman" w:hAnsi="Times New Roman" w:eastAsia="方正仿宋_GBK" w:cs="方正仿宋_GBK"/>
          <w:spacing w:val="-6"/>
          <w:sz w:val="32"/>
          <w:szCs w:val="32"/>
        </w:rPr>
        <w:t>万元。其中：基本支出</w:t>
      </w:r>
      <w:r>
        <w:rPr>
          <w:rFonts w:hint="eastAsia" w:ascii="Times New Roman" w:hAnsi="Times New Roman" w:eastAsia="方正仿宋_GBK" w:cs="方正仿宋_GBK"/>
          <w:spacing w:val="-6"/>
          <w:sz w:val="32"/>
          <w:szCs w:val="32"/>
          <w:lang w:val="en-US" w:eastAsia="zh-CN"/>
        </w:rPr>
        <w:t>321.32</w:t>
      </w:r>
      <w:r>
        <w:rPr>
          <w:rFonts w:hint="eastAsia" w:ascii="Times New Roman" w:hAnsi="Times New Roman" w:eastAsia="方正仿宋_GBK" w:cs="方正仿宋_GBK"/>
          <w:spacing w:val="-6"/>
          <w:sz w:val="32"/>
          <w:szCs w:val="32"/>
        </w:rPr>
        <w:t>万元；项目支出</w:t>
      </w:r>
      <w:r>
        <w:rPr>
          <w:rFonts w:hint="eastAsia" w:ascii="Times New Roman" w:hAnsi="Times New Roman" w:eastAsia="方正仿宋_GBK" w:cs="方正仿宋_GBK"/>
          <w:spacing w:val="-6"/>
          <w:sz w:val="32"/>
          <w:szCs w:val="32"/>
          <w:lang w:val="en-US" w:eastAsia="zh-CN"/>
        </w:rPr>
        <w:t>0</w:t>
      </w:r>
      <w:r>
        <w:rPr>
          <w:rFonts w:hint="eastAsia" w:ascii="Times New Roman" w:hAnsi="Times New Roman" w:eastAsia="方正仿宋_GBK" w:cs="方正仿宋_GBK"/>
          <w:spacing w:val="-6"/>
          <w:sz w:val="32"/>
          <w:szCs w:val="32"/>
        </w:rPr>
        <w:t>万元</w:t>
      </w:r>
      <w:r>
        <w:rPr>
          <w:rFonts w:hint="eastAsia" w:ascii="Times New Roman" w:hAnsi="Times New Roman" w:eastAsia="方正仿宋_GBK" w:cs="方正仿宋_GBK"/>
          <w:i w:val="0"/>
          <w:iCs w:val="0"/>
          <w:caps w:val="0"/>
          <w:color w:val="333333"/>
          <w:spacing w:val="-6"/>
          <w:sz w:val="32"/>
          <w:szCs w:val="32"/>
          <w:shd w:val="clear" w:color="auto" w:fill="FFFFFF"/>
        </w:rPr>
        <w:t>。</w:t>
      </w:r>
      <w:r>
        <w:rPr>
          <w:rFonts w:hint="eastAsia" w:ascii="Times New Roman" w:hAnsi="Times New Roman" w:eastAsia="方正仿宋_GBK" w:cs="方正仿宋_GBK"/>
          <w:spacing w:val="-6"/>
          <w:sz w:val="32"/>
          <w:szCs w:val="32"/>
        </w:rPr>
        <w:t>按上级政策要求，预算单位要严格按“三定”方案设置，我部门为2024年新设置预算单位，无法与上年同期数进行比较</w:t>
      </w:r>
      <w:r>
        <w:rPr>
          <w:rFonts w:hint="eastAsia" w:eastAsia="方正仿宋_GBK" w:cs="方正仿宋_GBK"/>
          <w:spacing w:val="-6"/>
          <w:sz w:val="32"/>
          <w:szCs w:val="32"/>
          <w:lang w:eastAsia="zh-CN"/>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重庆市开州区机关</w:t>
      </w:r>
      <w:r>
        <w:rPr>
          <w:rFonts w:hint="eastAsia" w:eastAsia="方正仿宋_GBK" w:cs="方正仿宋_GBK"/>
          <w:sz w:val="32"/>
          <w:szCs w:val="32"/>
          <w:lang w:eastAsia="zh-CN"/>
        </w:rPr>
        <w:t>运行保障</w:t>
      </w:r>
      <w:r>
        <w:rPr>
          <w:rFonts w:hint="eastAsia" w:ascii="Times New Roman" w:hAnsi="Times New Roman" w:eastAsia="方正仿宋_GBK" w:cs="方正仿宋_GBK"/>
          <w:sz w:val="32"/>
          <w:szCs w:val="32"/>
        </w:rPr>
        <w:t>中心202</w:t>
      </w:r>
      <w:r>
        <w:rPr>
          <w:rFonts w:hint="eastAsia" w:eastAsia="方正仿宋_GBK" w:cs="方正仿宋_GBK"/>
          <w:sz w:val="32"/>
          <w:szCs w:val="32"/>
          <w:lang w:val="en-US" w:eastAsia="zh-CN"/>
        </w:rPr>
        <w:t>4</w:t>
      </w:r>
      <w:r>
        <w:rPr>
          <w:rFonts w:hint="eastAsia" w:ascii="Times New Roman" w:hAnsi="Times New Roman" w:eastAsia="方正仿宋_GBK" w:cs="方正仿宋_GBK"/>
          <w:sz w:val="32"/>
          <w:szCs w:val="32"/>
        </w:rPr>
        <w:t>年无使用政府性基金预算拨款安排的支出。</w:t>
      </w:r>
    </w:p>
    <w:p>
      <w:pPr>
        <w:keepNext w:val="0"/>
        <w:keepLines w:val="0"/>
        <w:pageBreakBefore w:val="0"/>
        <w:widowControl w:val="0"/>
        <w:kinsoku/>
        <w:wordWrap/>
        <w:overflowPunct/>
        <w:topLinePunct w:val="0"/>
        <w:autoSpaceDE/>
        <w:autoSpaceDN/>
        <w:bidi w:val="0"/>
        <w:adjustRightInd/>
        <w:spacing w:line="594" w:lineRule="exact"/>
        <w:ind w:left="64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四、“三公”经费情况说明</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2024年“三公”经费预算</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pacing w:line="594" w:lineRule="exact"/>
        <w:ind w:left="64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五、其他重要事项的情况说明</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1</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 xml:space="preserve"> </w:t>
      </w:r>
      <w:r>
        <w:rPr>
          <w:rFonts w:hint="eastAsia" w:ascii="Times New Roman" w:hAnsi="Times New Roman" w:eastAsia="方正楷体_GBK" w:cs="方正楷体_GBK"/>
          <w:sz w:val="32"/>
          <w:szCs w:val="32"/>
        </w:rPr>
        <w:t>机关运行经费。</w:t>
      </w:r>
      <w:r>
        <w:rPr>
          <w:rFonts w:hint="eastAsia" w:ascii="Times New Roman" w:hAnsi="Times New Roman" w:eastAsia="方正仿宋_GBK" w:cs="方正仿宋_GBK"/>
          <w:sz w:val="32"/>
          <w:szCs w:val="32"/>
        </w:rPr>
        <w:t>我单位不在机关运行经费统计范围之内。</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spacing w:val="-6"/>
          <w:sz w:val="32"/>
          <w:szCs w:val="32"/>
        </w:rPr>
      </w:pPr>
      <w:r>
        <w:rPr>
          <w:rFonts w:hint="eastAsia" w:ascii="Times New Roman" w:hAnsi="Times New Roman" w:eastAsia="方正楷体_GBK" w:cs="方正楷体_GBK"/>
          <w:sz w:val="32"/>
          <w:szCs w:val="32"/>
        </w:rPr>
        <w:t>2</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 xml:space="preserve"> </w:t>
      </w:r>
      <w:r>
        <w:rPr>
          <w:rFonts w:hint="eastAsia" w:ascii="Times New Roman" w:hAnsi="Times New Roman" w:eastAsia="方正楷体_GBK" w:cs="方正楷体_GBK"/>
          <w:sz w:val="32"/>
          <w:szCs w:val="32"/>
        </w:rPr>
        <w:t>政府采购情况。</w:t>
      </w:r>
      <w:r>
        <w:rPr>
          <w:rFonts w:hint="eastAsia" w:ascii="Times New Roman" w:hAnsi="Times New Roman" w:eastAsia="方正仿宋_GBK" w:cs="方正仿宋_GBK"/>
          <w:sz w:val="32"/>
          <w:szCs w:val="32"/>
        </w:rPr>
        <w:t>所属各预算单位政府采购预算总额</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w:t>
      </w:r>
      <w:r>
        <w:rPr>
          <w:rFonts w:hint="eastAsia" w:ascii="Times New Roman" w:hAnsi="Times New Roman" w:eastAsia="方正仿宋_GBK" w:cs="方正仿宋_GBK"/>
          <w:spacing w:val="-6"/>
          <w:sz w:val="32"/>
          <w:szCs w:val="32"/>
        </w:rPr>
        <w:t>政府采购货物预算</w:t>
      </w:r>
      <w:r>
        <w:rPr>
          <w:rFonts w:hint="eastAsia" w:ascii="Times New Roman" w:hAnsi="Times New Roman" w:eastAsia="方正仿宋_GBK" w:cs="方正仿宋_GBK"/>
          <w:spacing w:val="-6"/>
          <w:sz w:val="32"/>
          <w:szCs w:val="32"/>
          <w:lang w:val="en-US" w:eastAsia="zh-CN"/>
        </w:rPr>
        <w:t>0</w:t>
      </w:r>
      <w:r>
        <w:rPr>
          <w:rFonts w:hint="eastAsia" w:ascii="Times New Roman" w:hAnsi="Times New Roman" w:eastAsia="方正仿宋_GBK" w:cs="方正仿宋_GBK"/>
          <w:spacing w:val="-6"/>
          <w:sz w:val="32"/>
          <w:szCs w:val="32"/>
        </w:rPr>
        <w:t>万元、政府采购工程预算</w:t>
      </w:r>
      <w:r>
        <w:rPr>
          <w:rFonts w:hint="eastAsia" w:ascii="Times New Roman" w:hAnsi="Times New Roman" w:eastAsia="方正仿宋_GBK" w:cs="方正仿宋_GBK"/>
          <w:spacing w:val="-6"/>
          <w:sz w:val="32"/>
          <w:szCs w:val="32"/>
          <w:lang w:val="en-US" w:eastAsia="zh-CN"/>
        </w:rPr>
        <w:t>0</w:t>
      </w:r>
      <w:r>
        <w:rPr>
          <w:rFonts w:hint="eastAsia" w:ascii="Times New Roman" w:hAnsi="Times New Roman" w:eastAsia="方正仿宋_GBK" w:cs="方正仿宋_GBK"/>
          <w:spacing w:val="-6"/>
          <w:sz w:val="32"/>
          <w:szCs w:val="32"/>
        </w:rPr>
        <w:t>元、政府采购服务预算</w:t>
      </w:r>
      <w:r>
        <w:rPr>
          <w:rFonts w:hint="eastAsia" w:ascii="Times New Roman" w:hAnsi="Times New Roman" w:eastAsia="方正仿宋_GBK" w:cs="方正仿宋_GBK"/>
          <w:spacing w:val="-6"/>
          <w:sz w:val="32"/>
          <w:szCs w:val="32"/>
          <w:lang w:val="en-US" w:eastAsia="zh-CN"/>
        </w:rPr>
        <w:t>0</w:t>
      </w:r>
      <w:r>
        <w:rPr>
          <w:rFonts w:hint="eastAsia" w:ascii="Times New Roman" w:hAnsi="Times New Roman" w:eastAsia="方正仿宋_GBK" w:cs="方正仿宋_GBK"/>
          <w:spacing w:val="-6"/>
          <w:sz w:val="32"/>
          <w:szCs w:val="32"/>
        </w:rPr>
        <w:t>万元；一般公共预算拨款政府采购</w:t>
      </w:r>
      <w:r>
        <w:rPr>
          <w:rFonts w:hint="eastAsia" w:ascii="Times New Roman" w:hAnsi="Times New Roman" w:eastAsia="方正仿宋_GBK" w:cs="方正仿宋_GBK"/>
          <w:spacing w:val="-6"/>
          <w:sz w:val="32"/>
          <w:szCs w:val="32"/>
          <w:lang w:val="en-US" w:eastAsia="zh-CN"/>
        </w:rPr>
        <w:t>0</w:t>
      </w:r>
      <w:r>
        <w:rPr>
          <w:rFonts w:hint="eastAsia" w:ascii="Times New Roman" w:hAnsi="Times New Roman" w:eastAsia="方正仿宋_GBK" w:cs="方正仿宋_GBK"/>
          <w:spacing w:val="-6"/>
          <w:sz w:val="32"/>
          <w:szCs w:val="32"/>
        </w:rPr>
        <w:t>万元：政府采购货物预算</w:t>
      </w:r>
      <w:r>
        <w:rPr>
          <w:rFonts w:hint="eastAsia" w:ascii="Times New Roman" w:hAnsi="Times New Roman" w:eastAsia="方正仿宋_GBK" w:cs="方正仿宋_GBK"/>
          <w:spacing w:val="-6"/>
          <w:sz w:val="32"/>
          <w:szCs w:val="32"/>
          <w:lang w:val="en-US" w:eastAsia="zh-CN"/>
        </w:rPr>
        <w:t>0</w:t>
      </w:r>
      <w:r>
        <w:rPr>
          <w:rFonts w:hint="eastAsia" w:ascii="Times New Roman" w:hAnsi="Times New Roman" w:eastAsia="方正仿宋_GBK" w:cs="方正仿宋_GBK"/>
          <w:spacing w:val="-6"/>
          <w:sz w:val="32"/>
          <w:szCs w:val="32"/>
        </w:rPr>
        <w:t>万元、政府采购工程预算</w:t>
      </w:r>
      <w:r>
        <w:rPr>
          <w:rFonts w:hint="eastAsia" w:ascii="Times New Roman" w:hAnsi="Times New Roman" w:eastAsia="方正仿宋_GBK" w:cs="方正仿宋_GBK"/>
          <w:spacing w:val="-6"/>
          <w:sz w:val="32"/>
          <w:szCs w:val="32"/>
          <w:lang w:val="en-US" w:eastAsia="zh-CN"/>
        </w:rPr>
        <w:t>0</w:t>
      </w:r>
      <w:r>
        <w:rPr>
          <w:rFonts w:hint="eastAsia" w:ascii="Times New Roman" w:hAnsi="Times New Roman" w:eastAsia="方正仿宋_GBK" w:cs="方正仿宋_GBK"/>
          <w:spacing w:val="-6"/>
          <w:sz w:val="32"/>
          <w:szCs w:val="32"/>
        </w:rPr>
        <w:t>万元、政府采购服务预算</w:t>
      </w:r>
      <w:r>
        <w:rPr>
          <w:rFonts w:hint="eastAsia" w:ascii="Times New Roman" w:hAnsi="Times New Roman" w:eastAsia="方正仿宋_GBK" w:cs="方正仿宋_GBK"/>
          <w:spacing w:val="-6"/>
          <w:sz w:val="32"/>
          <w:szCs w:val="32"/>
          <w:lang w:val="en-US" w:eastAsia="zh-CN"/>
        </w:rPr>
        <w:t>0</w:t>
      </w:r>
      <w:r>
        <w:rPr>
          <w:rFonts w:hint="eastAsia" w:ascii="Times New Roman" w:hAnsi="Times New Roman" w:eastAsia="方正仿宋_GBK" w:cs="方正仿宋_GBK"/>
          <w:spacing w:val="-6"/>
          <w:sz w:val="32"/>
          <w:szCs w:val="32"/>
        </w:rPr>
        <w:t>万元。</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楷体_GBK" w:cs="方正楷体_GBK"/>
          <w:sz w:val="32"/>
          <w:szCs w:val="32"/>
        </w:rPr>
        <w:t>3</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 xml:space="preserve"> </w:t>
      </w:r>
      <w:r>
        <w:rPr>
          <w:rFonts w:hint="eastAsia" w:ascii="Times New Roman" w:hAnsi="Times New Roman" w:eastAsia="方正楷体_GBK" w:cs="方正楷体_GBK"/>
          <w:sz w:val="32"/>
          <w:szCs w:val="32"/>
        </w:rPr>
        <w:t>绩效目标设置情况。</w:t>
      </w:r>
      <w:r>
        <w:rPr>
          <w:rFonts w:hint="eastAsia" w:ascii="Times New Roman" w:hAnsi="Times New Roman" w:eastAsia="方正仿宋_GBK" w:cs="方正仿宋_GBK"/>
          <w:color w:val="000000"/>
          <w:sz w:val="32"/>
          <w:szCs w:val="32"/>
          <w:lang w:val="en-US" w:eastAsia="zh-CN"/>
        </w:rPr>
        <w:t>无项目支出</w:t>
      </w:r>
      <w:r>
        <w:rPr>
          <w:rFonts w:hint="eastAsia" w:ascii="Times New Roman" w:hAnsi="Times New Roman"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楷体_GBK" w:cs="方正楷体_GBK"/>
          <w:sz w:val="32"/>
          <w:szCs w:val="32"/>
        </w:rPr>
        <w:t>4</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 xml:space="preserve"> </w:t>
      </w:r>
      <w:r>
        <w:rPr>
          <w:rFonts w:hint="eastAsia" w:ascii="Times New Roman" w:hAnsi="Times New Roman" w:eastAsia="方正楷体_GBK" w:cs="方正楷体_GBK"/>
          <w:sz w:val="32"/>
          <w:szCs w:val="32"/>
        </w:rPr>
        <w:t>国有资产占有使用情况。</w:t>
      </w:r>
      <w:r>
        <w:rPr>
          <w:rFonts w:hint="eastAsia" w:ascii="Times New Roman" w:hAnsi="Times New Roman" w:eastAsia="方正仿宋_GBK" w:cs="方正仿宋_GBK"/>
          <w:color w:val="000000"/>
          <w:sz w:val="32"/>
          <w:szCs w:val="32"/>
          <w:lang w:eastAsia="zh-CN"/>
        </w:rPr>
        <w:t>截至</w:t>
      </w:r>
      <w:r>
        <w:rPr>
          <w:rFonts w:hint="eastAsia" w:ascii="Times New Roman" w:hAnsi="Times New Roman" w:eastAsia="方正仿宋_GBK" w:cs="方正仿宋_GBK"/>
          <w:color w:val="000000"/>
          <w:sz w:val="32"/>
          <w:szCs w:val="32"/>
        </w:rPr>
        <w:t>2023年12月，所属预算单位共有车辆</w:t>
      </w:r>
      <w:r>
        <w:rPr>
          <w:rFonts w:hint="eastAsia" w:ascii="Times New Roman" w:hAnsi="Times New Roman" w:eastAsia="方正仿宋_GBK" w:cs="方正仿宋_GBK"/>
          <w:color w:val="000000"/>
          <w:sz w:val="32"/>
          <w:szCs w:val="32"/>
          <w:lang w:val="en-US" w:eastAsia="zh-CN"/>
        </w:rPr>
        <w:t>0</w:t>
      </w:r>
      <w:r>
        <w:rPr>
          <w:rFonts w:hint="eastAsia" w:ascii="Times New Roman" w:hAnsi="Times New Roman" w:eastAsia="方正仿宋_GBK" w:cs="方正仿宋_GBK"/>
          <w:color w:val="000000"/>
          <w:sz w:val="32"/>
          <w:szCs w:val="32"/>
        </w:rPr>
        <w:t>辆，其中一般公务用车</w:t>
      </w:r>
      <w:r>
        <w:rPr>
          <w:rFonts w:hint="eastAsia" w:ascii="Times New Roman" w:hAnsi="Times New Roman" w:eastAsia="方正仿宋_GBK" w:cs="方正仿宋_GBK"/>
          <w:color w:val="000000"/>
          <w:sz w:val="32"/>
          <w:szCs w:val="32"/>
          <w:lang w:val="en-US" w:eastAsia="zh-CN"/>
        </w:rPr>
        <w:t>0</w:t>
      </w:r>
      <w:r>
        <w:rPr>
          <w:rFonts w:hint="eastAsia" w:ascii="Times New Roman" w:hAnsi="Times New Roman" w:eastAsia="方正仿宋_GBK" w:cs="方正仿宋_GBK"/>
          <w:color w:val="000000"/>
          <w:sz w:val="32"/>
          <w:szCs w:val="32"/>
        </w:rPr>
        <w:t>辆、执勤执法用车</w:t>
      </w:r>
      <w:r>
        <w:rPr>
          <w:rFonts w:hint="eastAsia" w:ascii="Times New Roman" w:hAnsi="Times New Roman" w:eastAsia="方正仿宋_GBK" w:cs="方正仿宋_GBK"/>
          <w:color w:val="000000"/>
          <w:sz w:val="32"/>
          <w:szCs w:val="32"/>
          <w:lang w:val="en-US" w:eastAsia="zh-CN"/>
        </w:rPr>
        <w:t>0</w:t>
      </w:r>
      <w:r>
        <w:rPr>
          <w:rFonts w:hint="eastAsia" w:ascii="Times New Roman" w:hAnsi="Times New Roman" w:eastAsia="方正仿宋_GBK" w:cs="方正仿宋_GBK"/>
          <w:color w:val="000000"/>
          <w:sz w:val="32"/>
          <w:szCs w:val="32"/>
        </w:rPr>
        <w:t>辆。2024年一般公共预算安排购置车辆</w:t>
      </w:r>
      <w:r>
        <w:rPr>
          <w:rFonts w:hint="eastAsia" w:ascii="Times New Roman" w:hAnsi="Times New Roman" w:eastAsia="方正仿宋_GBK" w:cs="方正仿宋_GBK"/>
          <w:color w:val="000000"/>
          <w:sz w:val="32"/>
          <w:szCs w:val="32"/>
          <w:lang w:val="en-US" w:eastAsia="zh-CN"/>
        </w:rPr>
        <w:t>0</w:t>
      </w:r>
      <w:r>
        <w:rPr>
          <w:rFonts w:hint="eastAsia" w:ascii="Times New Roman" w:hAnsi="Times New Roman" w:eastAsia="方正仿宋_GBK" w:cs="方正仿宋_GBK"/>
          <w:color w:val="000000"/>
          <w:sz w:val="32"/>
          <w:szCs w:val="32"/>
        </w:rPr>
        <w:t>辆，其中一般公务用车</w:t>
      </w:r>
      <w:r>
        <w:rPr>
          <w:rFonts w:hint="eastAsia" w:ascii="Times New Roman" w:hAnsi="Times New Roman" w:eastAsia="方正仿宋_GBK" w:cs="方正仿宋_GBK"/>
          <w:color w:val="000000"/>
          <w:sz w:val="32"/>
          <w:szCs w:val="32"/>
          <w:lang w:val="en-US" w:eastAsia="zh-CN"/>
        </w:rPr>
        <w:t>0</w:t>
      </w:r>
      <w:r>
        <w:rPr>
          <w:rFonts w:hint="eastAsia" w:ascii="Times New Roman" w:hAnsi="Times New Roman" w:eastAsia="方正仿宋_GBK" w:cs="方正仿宋_GBK"/>
          <w:color w:val="000000"/>
          <w:sz w:val="32"/>
          <w:szCs w:val="32"/>
        </w:rPr>
        <w:t>辆、执勤执法用车</w:t>
      </w:r>
      <w:r>
        <w:rPr>
          <w:rFonts w:hint="eastAsia" w:ascii="Times New Roman" w:hAnsi="Times New Roman" w:eastAsia="方正仿宋_GBK" w:cs="方正仿宋_GBK"/>
          <w:color w:val="000000"/>
          <w:sz w:val="32"/>
          <w:szCs w:val="32"/>
          <w:lang w:val="en-US" w:eastAsia="zh-CN"/>
        </w:rPr>
        <w:t>0</w:t>
      </w:r>
      <w:r>
        <w:rPr>
          <w:rFonts w:hint="eastAsia" w:ascii="Times New Roman" w:hAnsi="Times New Roman" w:eastAsia="方正仿宋_GBK" w:cs="方正仿宋_GBK"/>
          <w:color w:val="000000"/>
          <w:sz w:val="32"/>
          <w:szCs w:val="32"/>
        </w:rPr>
        <w:t>辆。</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六、专业性名词解释</w:t>
      </w:r>
    </w:p>
    <w:p>
      <w:pPr>
        <w:pStyle w:val="11"/>
        <w:keepNext w:val="0"/>
        <w:keepLines w:val="0"/>
        <w:pageBreakBefore w:val="0"/>
        <w:widowControl w:val="0"/>
        <w:tabs>
          <w:tab w:val="center" w:pos="4153"/>
          <w:tab w:val="left" w:pos="7275"/>
        </w:tabs>
        <w:kinsoku/>
        <w:wordWrap/>
        <w:overflowPunct/>
        <w:topLinePunct w:val="0"/>
        <w:autoSpaceDE/>
        <w:autoSpaceDN/>
        <w:bidi w:val="0"/>
        <w:adjustRightInd/>
        <w:spacing w:line="594" w:lineRule="exact"/>
        <w:ind w:firstLine="64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kern w:val="2"/>
          <w:sz w:val="32"/>
          <w:szCs w:val="32"/>
          <w:lang w:val="en-US" w:eastAsia="zh-CN" w:bidi="ar-SA"/>
        </w:rPr>
        <w:t>（一）财政拨款收入：</w:t>
      </w:r>
      <w:r>
        <w:rPr>
          <w:rFonts w:hint="eastAsia" w:ascii="Times New Roman" w:hAnsi="Times New Roman" w:eastAsia="方正仿宋_GBK" w:cs="方正仿宋_GBK"/>
          <w:sz w:val="32"/>
          <w:szCs w:val="32"/>
        </w:rPr>
        <w:t>指本年度从本级财政部门取得的财政拨款，包括一般公共预算财政拨款和政府性基金预算财政拨款。</w:t>
      </w:r>
    </w:p>
    <w:p>
      <w:pPr>
        <w:pStyle w:val="11"/>
        <w:keepNext w:val="0"/>
        <w:keepLines w:val="0"/>
        <w:pageBreakBefore w:val="0"/>
        <w:widowControl w:val="0"/>
        <w:tabs>
          <w:tab w:val="center" w:pos="4153"/>
          <w:tab w:val="left" w:pos="7275"/>
        </w:tabs>
        <w:kinsoku/>
        <w:wordWrap/>
        <w:overflowPunct/>
        <w:topLinePunct w:val="0"/>
        <w:autoSpaceDE/>
        <w:autoSpaceDN/>
        <w:bidi w:val="0"/>
        <w:adjustRightInd/>
        <w:spacing w:line="594" w:lineRule="exact"/>
        <w:ind w:firstLine="64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kern w:val="2"/>
          <w:sz w:val="32"/>
          <w:szCs w:val="32"/>
          <w:lang w:val="en-US" w:eastAsia="zh-CN" w:bidi="ar-SA"/>
        </w:rPr>
        <w:t>（二）其他收入：</w:t>
      </w:r>
      <w:r>
        <w:rPr>
          <w:rFonts w:hint="eastAsia" w:ascii="Times New Roman" w:hAnsi="Times New Roman" w:eastAsia="方正仿宋_GBK" w:cs="方正仿宋_GBK"/>
          <w:sz w:val="32"/>
          <w:szCs w:val="32"/>
        </w:rPr>
        <w:t>指单位取得的除“财政拨款收入”“事业收入”“经营收入”等以外的收入。</w:t>
      </w:r>
    </w:p>
    <w:p>
      <w:pPr>
        <w:pStyle w:val="11"/>
        <w:keepNext w:val="0"/>
        <w:keepLines w:val="0"/>
        <w:pageBreakBefore w:val="0"/>
        <w:widowControl w:val="0"/>
        <w:tabs>
          <w:tab w:val="center" w:pos="4153"/>
          <w:tab w:val="left" w:pos="7275"/>
        </w:tabs>
        <w:kinsoku/>
        <w:wordWrap/>
        <w:overflowPunct/>
        <w:topLinePunct w:val="0"/>
        <w:autoSpaceDE/>
        <w:autoSpaceDN/>
        <w:bidi w:val="0"/>
        <w:adjustRightInd/>
        <w:spacing w:line="594" w:lineRule="exact"/>
        <w:ind w:firstLine="64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kern w:val="2"/>
          <w:sz w:val="32"/>
          <w:szCs w:val="32"/>
          <w:lang w:val="en-US" w:eastAsia="zh-CN" w:bidi="ar-SA"/>
        </w:rPr>
        <w:t>（三）基本支出：</w:t>
      </w:r>
      <w:r>
        <w:rPr>
          <w:rFonts w:hint="eastAsia" w:ascii="Times New Roman" w:hAnsi="Times New Roman" w:eastAsia="方正仿宋_GBK" w:cs="方正仿宋_GBK"/>
          <w:sz w:val="32"/>
          <w:szCs w:val="32"/>
        </w:rPr>
        <w:t>指为保障机构正常运转、完成日常工作任务而发生的人员经费和公用经费。</w:t>
      </w:r>
    </w:p>
    <w:p>
      <w:pPr>
        <w:pStyle w:val="11"/>
        <w:keepNext w:val="0"/>
        <w:keepLines w:val="0"/>
        <w:pageBreakBefore w:val="0"/>
        <w:widowControl w:val="0"/>
        <w:tabs>
          <w:tab w:val="center" w:pos="4153"/>
          <w:tab w:val="left" w:pos="7275"/>
        </w:tabs>
        <w:kinsoku/>
        <w:wordWrap/>
        <w:overflowPunct/>
        <w:topLinePunct w:val="0"/>
        <w:autoSpaceDE/>
        <w:autoSpaceDN/>
        <w:bidi w:val="0"/>
        <w:adjustRightInd/>
        <w:spacing w:line="594" w:lineRule="exact"/>
        <w:ind w:firstLine="64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kern w:val="2"/>
          <w:sz w:val="32"/>
          <w:szCs w:val="32"/>
          <w:lang w:val="en-US" w:eastAsia="zh-CN" w:bidi="ar-SA"/>
        </w:rPr>
        <w:t>（四）项目支出：</w:t>
      </w:r>
      <w:r>
        <w:rPr>
          <w:rFonts w:hint="eastAsia" w:ascii="Times New Roman" w:hAnsi="Times New Roman" w:eastAsia="方正仿宋_GBK" w:cs="方正仿宋_GBK"/>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（五）“三公”经费：</w:t>
      </w:r>
      <w:r>
        <w:rPr>
          <w:rFonts w:hint="eastAsia" w:ascii="Times New Roman" w:hAnsi="Times New Roman"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小标宋_GBK" w:cs="方正小标宋_GBK"/>
          <w:sz w:val="44"/>
          <w:szCs w:val="44"/>
        </w:rPr>
        <w:t>第二部分：2024年部门预算公开报表</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sz w:val="32"/>
          <w:szCs w:val="32"/>
        </w:rPr>
      </w:pPr>
      <w:r>
        <w:rPr>
          <w:rFonts w:hint="default" w:ascii="Times New Roman" w:hAnsi="Times New Roman" w:eastAsia="方正黑体_GBK" w:cs="Times New Roman"/>
          <w:sz w:val="32"/>
          <w:szCs w:val="32"/>
        </w:rPr>
        <w:t>2024年部门预算公开报表（详见附表</w:t>
      </w:r>
      <w:r>
        <w:rPr>
          <w:rFonts w:hint="default" w:ascii="Times New Roman" w:hAnsi="Times New Roman" w:eastAsia="方正黑体_GBK" w:cs="Times New Roman"/>
          <w:sz w:val="32"/>
          <w:szCs w:val="32"/>
          <w:lang w:val="en-US" w:eastAsia="zh-CN"/>
        </w:rPr>
        <w:t>重庆市开州区机关运行保障中心</w:t>
      </w:r>
      <w:r>
        <w:rPr>
          <w:rFonts w:hint="default" w:ascii="Times New Roman" w:hAnsi="Times New Roman" w:eastAsia="方正黑体_GBK" w:cs="Times New Roman"/>
          <w:sz w:val="32"/>
          <w:szCs w:val="32"/>
        </w:rPr>
        <w:t>2024年部门预算公开报表）</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部门预算公开联系人：廖杰常  联系方式：023-52808666</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p>
    <w:sectPr>
      <w:footerReference r:id="rId4" w:type="default"/>
      <w:pgSz w:w="11906" w:h="16838"/>
      <w:pgMar w:top="1984" w:right="1446" w:bottom="1644" w:left="1446" w:header="851" w:footer="1474"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hMWRlMjU1ZWViZjU0MzZhNGQ0NDMwNDkzYWYzODkifQ=="/>
    <w:docVar w:name="KSO_WPS_MARK_KEY" w:val="e5e541c0-1576-4734-a18e-af7551e619a3"/>
  </w:docVars>
  <w:rsids>
    <w:rsidRoot w:val="00000000"/>
    <w:rsid w:val="04A22082"/>
    <w:rsid w:val="133E6515"/>
    <w:rsid w:val="14DC5FE6"/>
    <w:rsid w:val="1A0B1CDB"/>
    <w:rsid w:val="1C7134B8"/>
    <w:rsid w:val="21862E6E"/>
    <w:rsid w:val="245C4F1A"/>
    <w:rsid w:val="26881B2A"/>
    <w:rsid w:val="323A6EF0"/>
    <w:rsid w:val="32F87768"/>
    <w:rsid w:val="33490893"/>
    <w:rsid w:val="371C0798"/>
    <w:rsid w:val="37DF5322"/>
    <w:rsid w:val="3E955EB8"/>
    <w:rsid w:val="3F136705"/>
    <w:rsid w:val="40440A50"/>
    <w:rsid w:val="41E926AE"/>
    <w:rsid w:val="44CA4135"/>
    <w:rsid w:val="4D152BB5"/>
    <w:rsid w:val="4D4001B9"/>
    <w:rsid w:val="53053093"/>
    <w:rsid w:val="53773265"/>
    <w:rsid w:val="541E6832"/>
    <w:rsid w:val="55CC4966"/>
    <w:rsid w:val="5B7B5B80"/>
    <w:rsid w:val="5BA741AF"/>
    <w:rsid w:val="5D171D06"/>
    <w:rsid w:val="5FA154ED"/>
    <w:rsid w:val="601B3392"/>
    <w:rsid w:val="68386E13"/>
    <w:rsid w:val="687872FC"/>
    <w:rsid w:val="6C646D57"/>
    <w:rsid w:val="6C882052"/>
    <w:rsid w:val="6F732317"/>
    <w:rsid w:val="709378A8"/>
    <w:rsid w:val="79C8563A"/>
    <w:rsid w:val="7B845591"/>
    <w:rsid w:val="7BBF0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rPr>
  </w:style>
  <w:style w:type="paragraph" w:styleId="3">
    <w:name w:val="Body Text"/>
    <w:basedOn w:val="1"/>
    <w:unhideWhenUsed/>
    <w:qFormat/>
    <w:uiPriority w:val="0"/>
    <w:pPr>
      <w:autoSpaceDE w:val="0"/>
      <w:autoSpaceDN w:val="0"/>
    </w:pPr>
    <w:rPr>
      <w:rFonts w:cs="Times New Roman"/>
      <w:szCs w:val="24"/>
      <w:lang w:val="zh-CN" w:bidi="zh-CN"/>
    </w:rPr>
  </w:style>
  <w:style w:type="paragraph" w:styleId="4">
    <w:name w:val="Body Text Indent"/>
    <w:basedOn w:val="1"/>
    <w:qFormat/>
    <w:uiPriority w:val="0"/>
    <w:pPr>
      <w:ind w:firstLine="640" w:firstLineChars="200"/>
    </w:pPr>
    <w:rPr>
      <w:rFonts w:ascii="仿宋_GB2312" w:eastAsia="仿宋_GB2312"/>
      <w:sz w:val="32"/>
    </w:rPr>
  </w:style>
  <w:style w:type="paragraph" w:styleId="5">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font51"/>
    <w:basedOn w:val="7"/>
    <w:qFormat/>
    <w:uiPriority w:val="0"/>
    <w:rPr>
      <w:rFonts w:hint="eastAsia" w:ascii="方正仿宋_GBK" w:hAnsi="方正仿宋_GBK" w:eastAsia="方正仿宋_GBK" w:cs="方正仿宋_GBK"/>
      <w:color w:val="000000"/>
      <w:sz w:val="24"/>
      <w:szCs w:val="24"/>
      <w:u w:val="none"/>
    </w:rPr>
  </w:style>
  <w:style w:type="paragraph" w:customStyle="1" w:styleId="1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1"/>
    <customShpInfo spid="_x0000_s1032"/>
    <customShpInfo spid="_x0000_s1033"/>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1807</Words>
  <Characters>1933</Characters>
  <Lines>0</Lines>
  <Paragraphs>0</Paragraphs>
  <TotalTime>0</TotalTime>
  <ScaleCrop>false</ScaleCrop>
  <LinksUpToDate>false</LinksUpToDate>
  <CharactersWithSpaces>1944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2022-10-24T09:44:00Z</dcterms:created>
  <dc:creator>Administrator</dc:creator>
  <cp:lastModifiedBy>张雷</cp:lastModifiedBy>
  <cp:lastPrinted>2023-12-29T01:31:00Z</cp:lastPrinted>
  <dcterms:modified xsi:type="dcterms:W3CDTF">2024-03-31T08:23:45Z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12DD0C4C7C2743288EBD9E0378FE5E84_13</vt:lpwstr>
  </property>
</Properties>
</file>