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ascii="Times New Roman" w:hAnsi="Times New Roman" w:eastAsia="方正小标宋简体"/>
          <w:kern w:val="0"/>
          <w:sz w:val="44"/>
          <w:szCs w:val="44"/>
        </w:rPr>
        <w:pict>
          <v:group id="_x0000_s1030" o:spid="_x0000_s1030" o:spt="203" style="position:absolute;left:0pt;margin-left:-16.75pt;margin-top:-22.65pt;height:702.8pt;width:484.15pt;z-index:251659264;mso-width-relative:page;mso-height-relative:page;" coordorigin="1088,1677" coordsize="9683,14056">
            <o:lock v:ext="edit" aspectratio="f"/>
            <v:line id="_x0000_s1031" o:spid="_x0000_s1031" o:spt="20" style="position:absolute;left:1133;top:2965;height:0;width:9638;" filled="f" stroked="t" coordsize="21600,21600">
              <v:path arrowok="t"/>
              <v:fill on="f" focussize="0,0"/>
              <v:stroke weight="5pt" color="#FF0000" linestyle="thickThin"/>
              <v:imagedata o:title=""/>
              <o:lock v:ext="edit" aspectratio="f"/>
            </v:line>
            <v:line id="_x0000_s1032" o:spid="_x0000_s1032" o:spt="20" style="position:absolute;left:1088;top:15733;height:0;width:9638;" filled="f" stroked="t" coordsize="21600,21600">
              <v:path arrowok="t"/>
              <v:fill on="f" focussize="0,0"/>
              <v:stroke weight="5pt" color="#FF0000" linestyle="thinThick"/>
              <v:imagedata o:title=""/>
              <o:lock v:ext="edit" aspectratio="f"/>
            </v:line>
            <v:shape id="_x0000_s1033" o:spid="_x0000_s1033" o:spt="136" type="#_x0000_t136" style="position:absolute;left:1556;top:1677;height:1077;width:8901;" fillcolor="#FF0000" filled="t" stroked="t" coordsize="21600,21600" adj="10801">
              <v:path/>
              <v:fill on="t" color2="#FFFFFF" focussize="0,0"/>
              <v:stroke weight="0pt" color="#FF0000"/>
              <v:imagedata o:title=""/>
              <o:lock v:ext="edit" aspectratio="f"/>
              <v:textpath on="t" fitshape="t" fitpath="t" trim="t" xscale="f" string=" 重庆市开州区机关事务管理中心" style="font-family:方正小标宋_GBK;font-size:54pt;v-text-align:center;v-text-spacing:68813f;"/>
            </v:shape>
          </v:group>
        </w:pict>
      </w: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重庆市开州区机关事务管理中心</w:t>
      </w:r>
    </w:p>
    <w:p>
      <w:pPr>
        <w:pStyle w:val="4"/>
        <w:keepNext w:val="0"/>
        <w:keepLines w:val="0"/>
        <w:pageBreakBefore w:val="0"/>
        <w:widowControl w:val="0"/>
        <w:kinsoku/>
        <w:wordWrap/>
        <w:overflowPunct/>
        <w:topLinePunct w:val="0"/>
        <w:autoSpaceDE/>
        <w:autoSpaceDN/>
        <w:bidi w:val="0"/>
        <w:adjustRightInd/>
        <w:spacing w:line="594" w:lineRule="exact"/>
        <w:ind w:firstLine="0" w:firstLineChars="0"/>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区机关事务</w:t>
      </w:r>
      <w:r>
        <w:rPr>
          <w:rFonts w:hint="eastAsia" w:ascii="Times New Roman" w:hAnsi="Times New Roman" w:eastAsia="方正小标宋_GBK" w:cs="Times New Roman"/>
          <w:sz w:val="44"/>
          <w:szCs w:val="44"/>
          <w:lang w:eastAsia="zh-CN"/>
        </w:rPr>
        <w:t>管理</w:t>
      </w:r>
      <w:r>
        <w:rPr>
          <w:rFonts w:hint="default" w:ascii="Times New Roman" w:hAnsi="Times New Roman" w:eastAsia="方正小标宋_GBK" w:cs="Times New Roman"/>
          <w:sz w:val="44"/>
          <w:szCs w:val="44"/>
          <w:lang w:eastAsia="zh-CN"/>
        </w:rPr>
        <w:t>中心</w:t>
      </w:r>
      <w:r>
        <w:rPr>
          <w:rFonts w:hint="eastAsia" w:ascii="Times New Roman" w:hAnsi="Times New Roman" w:eastAsia="方正小标宋_GBK" w:cs="方正小标宋_GBK"/>
          <w:color w:val="000000"/>
          <w:sz w:val="44"/>
          <w:szCs w:val="44"/>
          <w:lang w:eastAsia="zh-CN"/>
        </w:rPr>
        <w:t>（</w:t>
      </w:r>
      <w:r>
        <w:rPr>
          <w:rFonts w:hint="eastAsia" w:ascii="Times New Roman" w:hAnsi="Times New Roman" w:eastAsia="方正小标宋_GBK" w:cs="方正小标宋_GBK"/>
          <w:color w:val="000000"/>
          <w:sz w:val="44"/>
          <w:szCs w:val="44"/>
          <w:lang w:val="en-US" w:eastAsia="zh-CN"/>
        </w:rPr>
        <w:t>本级</w:t>
      </w:r>
      <w:r>
        <w:rPr>
          <w:rFonts w:hint="eastAsia" w:ascii="Times New Roman" w:hAnsi="Times New Roman" w:eastAsia="方正小标宋_GBK" w:cs="方正小标宋_GBK"/>
          <w:color w:val="000000"/>
          <w:sz w:val="44"/>
          <w:szCs w:val="44"/>
          <w:lang w:eastAsia="zh-CN"/>
        </w:rPr>
        <w:t>）</w:t>
      </w:r>
      <w:r>
        <w:rPr>
          <w:rFonts w:hint="default" w:ascii="Times New Roman" w:hAnsi="Times New Roman" w:eastAsia="方正小标宋_GBK" w:cs="Times New Roman"/>
          <w:sz w:val="44"/>
          <w:szCs w:val="44"/>
        </w:rPr>
        <w:t>2024年部门预算情况</w:t>
      </w:r>
      <w:r>
        <w:rPr>
          <w:rFonts w:hint="eastAsia" w:ascii="Times New Roman" w:hAnsi="Times New Roman" w:eastAsia="方正小标宋_GBK" w:cs="Times New Roman"/>
          <w:sz w:val="44"/>
          <w:szCs w:val="44"/>
          <w:lang w:eastAsia="zh-CN"/>
        </w:rPr>
        <w:t>的公示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w:t>
      </w:r>
      <w:r>
        <w:rPr>
          <w:rFonts w:hint="default" w:ascii="Times New Roman" w:hAnsi="Times New Roman" w:eastAsia="方正仿宋_GBK" w:cs="Times New Roman"/>
          <w:sz w:val="32"/>
          <w:szCs w:val="32"/>
          <w:lang w:eastAsia="zh-CN"/>
        </w:rPr>
        <w:t>区机关事务中心</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区级</w:t>
      </w:r>
      <w:r>
        <w:rPr>
          <w:rFonts w:hint="default" w:ascii="Times New Roman" w:hAnsi="Times New Roman" w:eastAsia="方正仿宋_GBK" w:cs="Times New Roman"/>
          <w:sz w:val="32"/>
          <w:szCs w:val="32"/>
        </w:rPr>
        <w:t>部门预算的通知》（开</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财</w:t>
      </w:r>
      <w:r>
        <w:rPr>
          <w:rFonts w:hint="default" w:ascii="Times New Roman" w:hAnsi="Times New Roman" w:eastAsia="方正仿宋_GBK" w:cs="Times New Roman"/>
          <w:sz w:val="32"/>
          <w:szCs w:val="32"/>
          <w:lang w:eastAsia="zh-CN"/>
        </w:rPr>
        <w:t>行发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kern w:val="2"/>
          <w:sz w:val="32"/>
          <w:szCs w:val="32"/>
          <w:lang w:val="en-US" w:eastAsia="zh-CN" w:bidi="ar-SA"/>
        </w:rPr>
        <w:t>重庆市开州区机关事务管理中心</w:t>
      </w:r>
      <w:r>
        <w:rPr>
          <w:rFonts w:hint="eastAsia" w:ascii="Times New Roman" w:hAnsi="Times New Roman" w:eastAsia="方正仿宋_GBK" w:cs="Times New Roman"/>
          <w:kern w:val="2"/>
          <w:sz w:val="32"/>
          <w:szCs w:val="32"/>
          <w:lang w:val="en-US" w:eastAsia="zh-CN" w:bidi="ar-SA"/>
        </w:rPr>
        <w:t>（本级）</w:t>
      </w:r>
      <w:r>
        <w:rPr>
          <w:rFonts w:hint="default" w:ascii="Times New Roman" w:hAnsi="Times New Roman" w:eastAsia="方正仿宋_GBK" w:cs="Times New Roman"/>
          <w:sz w:val="32"/>
          <w:szCs w:val="32"/>
        </w:rPr>
        <w:t>2024年部门预算批复情况</w:t>
      </w:r>
      <w:r>
        <w:rPr>
          <w:rFonts w:hint="eastAsia" w:ascii="Times New Roman" w:hAnsi="Times New Roman" w:eastAsia="方正仿宋_GBK" w:cs="Times New Roman"/>
          <w:sz w:val="32"/>
          <w:szCs w:val="32"/>
          <w:lang w:eastAsia="zh-CN"/>
        </w:rPr>
        <w:t>公示如下。</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lang w:eastAsia="zh-CN"/>
        </w:rPr>
      </w:pPr>
    </w:p>
    <w:p>
      <w:pPr>
        <w:keepNext w:val="0"/>
        <w:keepLines w:val="0"/>
        <w:pageBreakBefore w:val="0"/>
        <w:widowControl/>
        <w:kinsoku/>
        <w:wordWrap/>
        <w:overflowPunct/>
        <w:topLinePunct w:val="0"/>
        <w:autoSpaceDE/>
        <w:autoSpaceDN/>
        <w:bidi w:val="0"/>
        <w:adjustRightInd/>
        <w:snapToGrid/>
        <w:spacing w:line="594" w:lineRule="exact"/>
        <w:ind w:firstLine="3840" w:firstLineChars="1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重庆市开州区机关事务管理中心</w:t>
      </w:r>
    </w:p>
    <w:p>
      <w:pPr>
        <w:keepNext w:val="0"/>
        <w:keepLines w:val="0"/>
        <w:pageBreakBefore w:val="0"/>
        <w:widowControl/>
        <w:kinsoku/>
        <w:wordWrap/>
        <w:overflowPunct/>
        <w:topLinePunct w:val="0"/>
        <w:autoSpaceDE/>
        <w:autoSpaceDN/>
        <w:bidi w:val="0"/>
        <w:adjustRightInd/>
        <w:snapToGrid/>
        <w:spacing w:line="594"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sectPr>
          <w:footerReference r:id="rId3" w:type="default"/>
          <w:pgSz w:w="11906" w:h="16838"/>
          <w:pgMar w:top="1984" w:right="1446" w:bottom="1644" w:left="1446" w:header="851" w:footer="1474"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目    录</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第一部分：2024年部门预算情况说明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一、单位基本情况</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二、部门收支总体情况</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三、部门预算情况说明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四、“三公”经费情况说明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五、其他重要事项的情况说明</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六、专业性名词解释</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第二部分：2024年部门预算公开报表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表1、重庆市开州区机关事务管理中心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收支预算总表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表2、重庆市开州区机关事务管理中心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收入总表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表3、</w:t>
      </w:r>
      <w:r>
        <w:rPr>
          <w:rFonts w:hint="eastAsia" w:ascii="Times New Roman" w:hAnsi="Times New Roman" w:eastAsia="方正仿宋_GBK" w:cs="方正仿宋_GBK"/>
          <w:spacing w:val="-6"/>
          <w:sz w:val="32"/>
          <w:szCs w:val="32"/>
        </w:rPr>
        <w:t>重庆市开州区机关事务管理中心</w:t>
      </w:r>
      <w:r>
        <w:rPr>
          <w:rFonts w:hint="eastAsia" w:ascii="Times New Roman" w:hAnsi="Times New Roman" w:eastAsia="方正仿宋_GBK" w:cs="方正仿宋_GBK"/>
          <w:spacing w:val="-6"/>
          <w:kern w:val="2"/>
          <w:sz w:val="32"/>
          <w:szCs w:val="32"/>
          <w:lang w:val="en-US" w:eastAsia="zh-CN" w:bidi="ar-SA"/>
        </w:rPr>
        <w:t>（本级）</w:t>
      </w:r>
      <w:r>
        <w:rPr>
          <w:rFonts w:hint="eastAsia" w:ascii="Times New Roman" w:hAnsi="Times New Roman" w:eastAsia="方正仿宋_GBK" w:cs="方正仿宋_GBK"/>
          <w:spacing w:val="-6"/>
          <w:sz w:val="32"/>
          <w:szCs w:val="32"/>
        </w:rPr>
        <w:t>本年支出预算总表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表4、</w:t>
      </w:r>
      <w:r>
        <w:rPr>
          <w:rFonts w:hint="eastAsia" w:ascii="Times New Roman" w:hAnsi="Times New Roman" w:eastAsia="方正仿宋_GBK" w:cs="方正仿宋_GBK"/>
          <w:spacing w:val="-17"/>
          <w:sz w:val="32"/>
          <w:szCs w:val="32"/>
        </w:rPr>
        <w:t>重庆市开州区机关事务管理中心</w:t>
      </w:r>
      <w:r>
        <w:rPr>
          <w:rFonts w:hint="eastAsia" w:ascii="Times New Roman" w:hAnsi="Times New Roman" w:eastAsia="方正仿宋_GBK" w:cs="方正仿宋_GBK"/>
          <w:spacing w:val="-17"/>
          <w:kern w:val="2"/>
          <w:sz w:val="32"/>
          <w:szCs w:val="32"/>
          <w:lang w:val="en-US" w:eastAsia="zh-CN" w:bidi="ar-SA"/>
        </w:rPr>
        <w:t>（本级）</w:t>
      </w:r>
      <w:r>
        <w:rPr>
          <w:rFonts w:hint="eastAsia" w:ascii="Times New Roman" w:hAnsi="Times New Roman" w:eastAsia="方正仿宋_GBK" w:cs="方正仿宋_GBK"/>
          <w:spacing w:val="-17"/>
          <w:sz w:val="32"/>
          <w:szCs w:val="32"/>
        </w:rPr>
        <w:t>财政拨款收支预算总表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表5、重庆市开州区机关事务管理中心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本年一般公共预算支出预算表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表6、重庆市开州区机关事务管理中心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一般公共预算基本支出预算表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表7、重庆市开州区机关事务管理中心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表8、重庆市开州区机关事务管理中心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政府性基金预算支出预算表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表9、重庆市开州区机关事务管理中心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国有资本经营预算支出预算表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表10、重庆市开州区机关事务管理中心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ascii="Times New Roman" w:hAnsi="Times New Roman" w:eastAsia="方正仿宋_GBK" w:cs="方正仿宋_GBK"/>
          <w:sz w:val="32"/>
          <w:szCs w:val="32"/>
        </w:rPr>
        <w:t>项目支出表</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r>
        <w:rPr>
          <w:rFonts w:hint="eastAsia" w:ascii="Times New Roman" w:hAnsi="Times New Roman" w:eastAsia="方正小标宋_GBK" w:cs="方正小标宋_GBK"/>
          <w:sz w:val="44"/>
          <w:szCs w:val="44"/>
        </w:rPr>
        <w:t>第一部分：2024年部门预算情况说明</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一是负责区级机关事务的管理、保障、服务工作；负责对区级机关事务实行统一管理，根据规定拟订区级机关事务管理制度和标准；负责对区级部门、镇乡街道机关后勤事务的培训和指导。 二是配合有关部门制定全区党政机关办公用房管理办法及规章制度，承办全区党政机关办公用房相关服务保障工作。三是配合有关部门拟订公务用车配备使用管理办法及规章制度，承办全区公务用车相关服务保障工作。四是配合区委办公室制定全区公务接待管理办法及规章制度，承办全区公务接待服务保障工作。五是配合有关部门制定全区公共机构节能管理规划及规章制度，承办全区公共机构节能相关服务保障工作。六是负责全区机关后勤服务保障工作，确定机关后勤服务项目和标准，统一组织实施相对集中办公区域的后勤保障服务。</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（二）</w:t>
      </w:r>
      <w:r>
        <w:rPr>
          <w:rFonts w:hint="eastAsia" w:ascii="Times New Roman" w:hAnsi="Times New Roman" w:eastAsia="方正楷体_GBK" w:cs="方正楷体_GBK"/>
          <w:sz w:val="32"/>
          <w:szCs w:val="32"/>
        </w:rPr>
        <w:t>单位构成</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重庆市开州区机关事务管理中心</w:t>
      </w:r>
      <w:r>
        <w:rPr>
          <w:rFonts w:hint="eastAsia" w:ascii="Times New Roman" w:hAnsi="Times New Roman" w:eastAsia="方正仿宋_GBK" w:cs="方正仿宋_GBK"/>
          <w:kern w:val="2"/>
          <w:sz w:val="32"/>
          <w:szCs w:val="32"/>
          <w:lang w:val="en-US" w:eastAsia="zh-CN" w:bidi="ar-SA"/>
        </w:rPr>
        <w:t>（本级）</w:t>
      </w:r>
      <w:r>
        <w:rPr>
          <w:rFonts w:hint="eastAsia" w:eastAsia="方正仿宋_GBK" w:cs="Times New Roman"/>
          <w:i w:val="0"/>
          <w:iCs w:val="0"/>
          <w:caps w:val="0"/>
          <w:color w:val="333333"/>
          <w:spacing w:val="0"/>
          <w:sz w:val="32"/>
          <w:szCs w:val="32"/>
          <w:shd w:val="clear" w:color="auto" w:fill="FFFFFF"/>
          <w:lang w:eastAsia="zh-CN"/>
        </w:rPr>
        <w:t>属</w:t>
      </w:r>
      <w:r>
        <w:rPr>
          <w:rFonts w:hint="default" w:ascii="Times New Roman" w:hAnsi="Times New Roman" w:eastAsia="方正仿宋_GBK" w:cs="Times New Roman"/>
          <w:i w:val="0"/>
          <w:iCs w:val="0"/>
          <w:caps w:val="0"/>
          <w:color w:val="333333"/>
          <w:spacing w:val="0"/>
          <w:sz w:val="32"/>
          <w:szCs w:val="32"/>
          <w:shd w:val="clear" w:color="auto" w:fill="FFFFFF"/>
        </w:rPr>
        <w:t>重庆市开州区机关事务管理中心</w:t>
      </w:r>
      <w:r>
        <w:rPr>
          <w:rFonts w:hint="eastAsia" w:eastAsia="方正仿宋_GBK" w:cs="Times New Roman"/>
          <w:i w:val="0"/>
          <w:iCs w:val="0"/>
          <w:caps w:val="0"/>
          <w:color w:val="333333"/>
          <w:spacing w:val="0"/>
          <w:sz w:val="32"/>
          <w:szCs w:val="32"/>
          <w:shd w:val="clear" w:color="auto" w:fill="FFFFFF"/>
          <w:lang w:eastAsia="zh-CN"/>
        </w:rPr>
        <w:t>二级预算单位，</w:t>
      </w:r>
      <w:r>
        <w:rPr>
          <w:rFonts w:hint="eastAsia" w:ascii="Times New Roman" w:hAnsi="Times New Roman" w:eastAsia="方正仿宋_GBK" w:cs="方正仿宋_GBK"/>
          <w:i w:val="0"/>
          <w:iCs w:val="0"/>
          <w:caps w:val="0"/>
          <w:color w:val="333333"/>
          <w:spacing w:val="0"/>
          <w:sz w:val="32"/>
          <w:szCs w:val="32"/>
          <w:shd w:val="clear" w:color="auto" w:fill="FFFFFF"/>
        </w:rPr>
        <w:t>内设机构4个，分别是：办公室（公车管理科）、会务接待科、公共机构节能科、后勤保障科。</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二、部门收支总体情况</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（一）收入预算：</w:t>
      </w:r>
      <w:r>
        <w:rPr>
          <w:rFonts w:hint="eastAsia" w:ascii="Times New Roman" w:hAnsi="Times New Roman" w:eastAsia="方正仿宋_GBK" w:cs="方正仿宋_GBK"/>
          <w:sz w:val="32"/>
          <w:szCs w:val="32"/>
        </w:rPr>
        <w:t>2024年年初预算数</w:t>
      </w:r>
      <w:r>
        <w:rPr>
          <w:rFonts w:hint="eastAsia" w:ascii="Times New Roman" w:hAnsi="Times New Roman" w:eastAsia="方正仿宋_GBK" w:cs="方正仿宋_GBK"/>
          <w:sz w:val="32"/>
          <w:szCs w:val="32"/>
          <w:lang w:val="en-US" w:eastAsia="zh-CN"/>
        </w:rPr>
        <w:t>665.86</w:t>
      </w:r>
      <w:r>
        <w:rPr>
          <w:rFonts w:hint="eastAsia" w:ascii="Times New Roman" w:hAnsi="Times New Roman" w:eastAsia="方正仿宋_GBK" w:cs="方正仿宋_GBK"/>
          <w:sz w:val="32"/>
          <w:szCs w:val="32"/>
        </w:rPr>
        <w:t>万元，其中：一般公共预算拨款</w:t>
      </w:r>
      <w:r>
        <w:rPr>
          <w:rFonts w:hint="eastAsia" w:ascii="Times New Roman" w:hAnsi="Times New Roman" w:eastAsia="方正仿宋_GBK" w:cs="方正仿宋_GBK"/>
          <w:sz w:val="32"/>
          <w:szCs w:val="32"/>
          <w:lang w:val="en-US" w:eastAsia="zh-CN"/>
        </w:rPr>
        <w:t>665.86</w:t>
      </w:r>
      <w:r>
        <w:rPr>
          <w:rFonts w:hint="eastAsia" w:ascii="Times New Roman" w:hAnsi="Times New Roman" w:eastAsia="方正仿宋_GBK" w:cs="方正仿宋_GBK"/>
          <w:sz w:val="32"/>
          <w:szCs w:val="32"/>
        </w:rPr>
        <w:t>万元，政府性基金预算拨款</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万元，国有资本经营预算收入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万元，事业收入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万元，事业单位经营收入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万元，其他收入</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万元。收入较2023年</w:t>
      </w:r>
      <w:r>
        <w:rPr>
          <w:rFonts w:hint="eastAsia" w:ascii="Times New Roman" w:hAnsi="Times New Roman" w:eastAsia="方正仿宋_GBK" w:cs="方正仿宋_GBK"/>
          <w:sz w:val="32"/>
          <w:szCs w:val="32"/>
          <w:lang w:val="en-US" w:eastAsia="zh-CN"/>
        </w:rPr>
        <w:t>减少529.56</w:t>
      </w:r>
      <w:r>
        <w:rPr>
          <w:rFonts w:hint="eastAsia" w:ascii="Times New Roman" w:hAnsi="Times New Roman" w:eastAsia="方正仿宋_GBK" w:cs="方正仿宋_GBK"/>
          <w:sz w:val="32"/>
          <w:szCs w:val="32"/>
        </w:rPr>
        <w:t>万元，主要是</w:t>
      </w:r>
      <w:r>
        <w:rPr>
          <w:rFonts w:hint="eastAsia" w:ascii="Times New Roman" w:hAnsi="Times New Roman" w:eastAsia="方正仿宋_GBK" w:cs="方正仿宋_GBK"/>
          <w:sz w:val="32"/>
          <w:szCs w:val="32"/>
          <w:lang w:val="en-US" w:eastAsia="zh-CN"/>
        </w:rPr>
        <w:t>下属事业单位区机关运保中心单独预算。</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（二）支出预算：</w:t>
      </w:r>
      <w:r>
        <w:rPr>
          <w:rFonts w:hint="eastAsia" w:ascii="Times New Roman" w:hAnsi="Times New Roman" w:eastAsia="方正仿宋_GBK" w:cs="方正仿宋_GBK"/>
          <w:sz w:val="32"/>
          <w:szCs w:val="32"/>
        </w:rPr>
        <w:t>2024年年初预算数</w:t>
      </w:r>
      <w:r>
        <w:rPr>
          <w:rFonts w:hint="eastAsia" w:ascii="Times New Roman" w:hAnsi="Times New Roman" w:eastAsia="方正仿宋_GBK" w:cs="方正仿宋_GBK"/>
          <w:sz w:val="32"/>
          <w:szCs w:val="32"/>
          <w:lang w:val="en-US" w:eastAsia="zh-CN"/>
        </w:rPr>
        <w:t>665.86</w:t>
      </w:r>
      <w:r>
        <w:rPr>
          <w:rFonts w:hint="eastAsia" w:ascii="Times New Roman" w:hAnsi="Times New Roman" w:eastAsia="方正仿宋_GBK" w:cs="方正仿宋_GBK"/>
          <w:sz w:val="32"/>
          <w:szCs w:val="32"/>
        </w:rPr>
        <w:t>万元，其中：一般公共服务支出预算605.05万元，社会保障和就业支出预算30.46万元，卫生健康支出预算13.91万元，住房保障支出预算16.43万元。支出预算较2023年</w:t>
      </w:r>
      <w:r>
        <w:rPr>
          <w:rFonts w:hint="eastAsia" w:ascii="Times New Roman" w:hAnsi="Times New Roman" w:eastAsia="方正仿宋_GBK" w:cs="方正仿宋_GBK"/>
          <w:sz w:val="32"/>
          <w:szCs w:val="32"/>
          <w:lang w:val="en-US" w:eastAsia="zh-CN"/>
        </w:rPr>
        <w:t>减少529.56</w:t>
      </w:r>
      <w:r>
        <w:rPr>
          <w:rFonts w:hint="eastAsia" w:ascii="Times New Roman" w:hAnsi="Times New Roman" w:eastAsia="方正仿宋_GBK" w:cs="方正仿宋_GBK"/>
          <w:sz w:val="32"/>
          <w:szCs w:val="32"/>
        </w:rPr>
        <w:t>万元，主要是</w:t>
      </w:r>
      <w:r>
        <w:rPr>
          <w:rFonts w:hint="eastAsia" w:ascii="Times New Roman" w:hAnsi="Times New Roman" w:eastAsia="方正仿宋_GBK" w:cs="方正仿宋_GBK"/>
          <w:sz w:val="32"/>
          <w:szCs w:val="32"/>
          <w:lang w:val="en-US" w:eastAsia="zh-CN"/>
        </w:rPr>
        <w:t>下属事业单位区机关运保中心单独预算</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三、部门预算情况说明</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2024年一般公共预算财政拨款收入</w:t>
      </w:r>
      <w:r>
        <w:rPr>
          <w:rFonts w:hint="eastAsia" w:ascii="Times New Roman" w:hAnsi="Times New Roman" w:eastAsia="方正仿宋_GBK" w:cs="方正仿宋_GBK"/>
          <w:sz w:val="32"/>
          <w:szCs w:val="32"/>
          <w:lang w:val="en-US" w:eastAsia="zh-CN"/>
        </w:rPr>
        <w:t>665.86</w:t>
      </w:r>
      <w:r>
        <w:rPr>
          <w:rFonts w:hint="eastAsia" w:ascii="Times New Roman" w:hAnsi="Times New Roman" w:eastAsia="方正仿宋_GBK" w:cs="方正仿宋_GBK"/>
          <w:sz w:val="32"/>
          <w:szCs w:val="32"/>
        </w:rPr>
        <w:t>万元，一般公共预算财政拨款支出</w:t>
      </w:r>
      <w:r>
        <w:rPr>
          <w:rFonts w:hint="eastAsia" w:ascii="Times New Roman" w:hAnsi="Times New Roman" w:eastAsia="方正仿宋_GBK" w:cs="方正仿宋_GBK"/>
          <w:sz w:val="32"/>
          <w:szCs w:val="32"/>
          <w:lang w:val="en-US" w:eastAsia="zh-CN"/>
        </w:rPr>
        <w:t>665.86</w:t>
      </w:r>
      <w:r>
        <w:rPr>
          <w:rFonts w:hint="eastAsia" w:ascii="Times New Roman" w:hAnsi="Times New Roman" w:eastAsia="方正仿宋_GBK" w:cs="方正仿宋_GBK"/>
          <w:sz w:val="32"/>
          <w:szCs w:val="32"/>
        </w:rPr>
        <w:t>万元，比2023年</w:t>
      </w:r>
      <w:r>
        <w:rPr>
          <w:rFonts w:hint="eastAsia" w:ascii="Times New Roman" w:hAnsi="Times New Roman" w:eastAsia="方正仿宋_GBK" w:cs="方正仿宋_GBK"/>
          <w:sz w:val="32"/>
          <w:szCs w:val="32"/>
          <w:lang w:val="en-US" w:eastAsia="zh-CN"/>
        </w:rPr>
        <w:t>减少529.56</w:t>
      </w:r>
      <w:r>
        <w:rPr>
          <w:rFonts w:hint="eastAsia" w:ascii="Times New Roman" w:hAnsi="Times New Roman" w:eastAsia="方正仿宋_GBK" w:cs="方正仿宋_GBK"/>
          <w:sz w:val="32"/>
          <w:szCs w:val="32"/>
        </w:rPr>
        <w:t>万元。其中：基本支出259.86万元，比2023年减少</w:t>
      </w:r>
      <w:r>
        <w:rPr>
          <w:rFonts w:hint="eastAsia" w:ascii="Times New Roman" w:hAnsi="Times New Roman" w:eastAsia="方正仿宋_GBK" w:cs="方正仿宋_GBK"/>
          <w:sz w:val="32"/>
          <w:szCs w:val="32"/>
          <w:lang w:val="en-US" w:eastAsia="zh-CN"/>
        </w:rPr>
        <w:t>321.31</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val="en-US" w:eastAsia="zh-CN"/>
        </w:rPr>
        <w:t>下属事业单位区机关运保中心单独预算</w:t>
      </w:r>
      <w:r>
        <w:rPr>
          <w:rFonts w:hint="eastAsia" w:ascii="Times New Roman" w:hAnsi="Times New Roman" w:eastAsia="方正仿宋_GBK" w:cs="方正仿宋_GBK"/>
          <w:sz w:val="32"/>
          <w:szCs w:val="32"/>
        </w:rPr>
        <w:t>，主要用于保障在职人员工资福利及社会保险缴费，离休人员离休费，退休人员补助，保障部门正常运转的各项商品服务支出</w:t>
      </w:r>
      <w:r>
        <w:rPr>
          <w:rFonts w:hint="eastAsia" w:eastAsia="方正仿宋_GBK" w:cs="方正仿宋_GBK"/>
          <w:sz w:val="32"/>
          <w:szCs w:val="32"/>
          <w:lang w:eastAsia="zh-CN"/>
        </w:rPr>
        <w:t>等</w:t>
      </w:r>
      <w:r>
        <w:rPr>
          <w:rFonts w:hint="eastAsia" w:ascii="Times New Roman" w:hAnsi="Times New Roman" w:eastAsia="方正仿宋_GBK" w:cs="方正仿宋_GBK"/>
          <w:sz w:val="32"/>
          <w:szCs w:val="32"/>
        </w:rPr>
        <w:t>；项目支出</w:t>
      </w:r>
      <w:r>
        <w:rPr>
          <w:rFonts w:hint="eastAsia" w:ascii="Times New Roman" w:hAnsi="Times New Roman" w:eastAsia="方正仿宋_GBK" w:cs="方正仿宋_GBK"/>
          <w:sz w:val="32"/>
          <w:szCs w:val="32"/>
          <w:lang w:val="en-US" w:eastAsia="zh-CN"/>
        </w:rPr>
        <w:t>406</w:t>
      </w:r>
      <w:r>
        <w:rPr>
          <w:rFonts w:hint="eastAsia" w:ascii="Times New Roman" w:hAnsi="Times New Roman" w:eastAsia="方正仿宋_GBK" w:cs="方正仿宋_GBK"/>
          <w:sz w:val="32"/>
          <w:szCs w:val="32"/>
        </w:rPr>
        <w:t>万元，比2023年减少</w:t>
      </w:r>
      <w:r>
        <w:rPr>
          <w:rFonts w:hint="eastAsia" w:ascii="Times New Roman" w:hAnsi="Times New Roman" w:eastAsia="方正仿宋_GBK" w:cs="方正仿宋_GBK"/>
          <w:sz w:val="32"/>
          <w:szCs w:val="32"/>
          <w:lang w:val="en-US" w:eastAsia="zh-CN"/>
        </w:rPr>
        <w:t>200.81</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i w:val="0"/>
          <w:iCs w:val="0"/>
          <w:caps w:val="0"/>
          <w:color w:val="333333"/>
          <w:spacing w:val="-6"/>
          <w:sz w:val="32"/>
          <w:szCs w:val="32"/>
          <w:shd w:val="clear" w:color="auto" w:fill="FFFFFF"/>
        </w:rPr>
        <w:t>主要原因是相对应的重点工作变动，主要用于区级机关综合办公大楼、区级机关食堂运行维护等重点工作</w:t>
      </w:r>
      <w:r>
        <w:rPr>
          <w:rFonts w:hint="eastAsia" w:ascii="Times New Roman" w:hAnsi="Times New Roman" w:eastAsia="方正仿宋_GBK" w:cs="方正仿宋_GBK"/>
          <w:spacing w:val="-6"/>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重庆市开州区机关事务管理中心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本级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年无使用政府性基金预算拨款安排的支出。</w:t>
      </w:r>
    </w:p>
    <w:p>
      <w:pPr>
        <w:keepNext w:val="0"/>
        <w:keepLines w:val="0"/>
        <w:pageBreakBefore w:val="0"/>
        <w:widowControl w:val="0"/>
        <w:kinsoku/>
        <w:wordWrap/>
        <w:overflowPunct/>
        <w:topLinePunct w:val="0"/>
        <w:autoSpaceDE/>
        <w:autoSpaceDN/>
        <w:bidi w:val="0"/>
        <w:adjustRightInd/>
        <w:spacing w:line="594" w:lineRule="exact"/>
        <w:ind w:left="64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2024年“三公”经费预算</w:t>
      </w:r>
      <w:r>
        <w:rPr>
          <w:rFonts w:hint="eastAsia" w:ascii="Times New Roman" w:hAnsi="Times New Roman" w:eastAsia="方正仿宋_GBK" w:cs="方正仿宋_GBK"/>
          <w:sz w:val="32"/>
          <w:szCs w:val="32"/>
          <w:lang w:val="en-US" w:eastAsia="zh-CN"/>
        </w:rPr>
        <w:t>95</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val="en-US" w:eastAsia="zh-CN"/>
        </w:rPr>
        <w:t>与2023年持平</w:t>
      </w:r>
      <w:r>
        <w:rPr>
          <w:rFonts w:hint="eastAsia" w:ascii="Times New Roman" w:hAnsi="Times New Roman" w:eastAsia="方正仿宋_GBK" w:cs="方正仿宋_GBK"/>
          <w:sz w:val="32"/>
          <w:szCs w:val="32"/>
        </w:rPr>
        <w:t>。其中：因公出国（境）费用</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val="en-US" w:eastAsia="zh-CN"/>
        </w:rPr>
        <w:t>与</w:t>
      </w:r>
      <w:r>
        <w:rPr>
          <w:rFonts w:hint="eastAsia" w:ascii="Times New Roman" w:hAnsi="Times New Roman" w:eastAsia="方正仿宋_GBK" w:cs="方正仿宋_GBK"/>
          <w:sz w:val="32"/>
          <w:szCs w:val="32"/>
        </w:rPr>
        <w:t>2023年</w:t>
      </w:r>
      <w:r>
        <w:rPr>
          <w:rFonts w:hint="eastAsia" w:ascii="Times New Roman" w:hAnsi="Times New Roman" w:eastAsia="方正仿宋_GBK" w:cs="方正仿宋_GBK"/>
          <w:sz w:val="32"/>
          <w:szCs w:val="32"/>
          <w:lang w:val="en-US" w:eastAsia="zh-CN"/>
        </w:rPr>
        <w:t>持平</w:t>
      </w:r>
      <w:r>
        <w:rPr>
          <w:rFonts w:hint="eastAsia" w:ascii="Times New Roman" w:hAnsi="Times New Roman" w:eastAsia="方正仿宋_GBK" w:cs="方正仿宋_GBK"/>
          <w:sz w:val="32"/>
          <w:szCs w:val="32"/>
        </w:rPr>
        <w:t>；公务接待费</w:t>
      </w:r>
      <w:r>
        <w:rPr>
          <w:rFonts w:hint="eastAsia" w:ascii="Times New Roman" w:hAnsi="Times New Roman" w:eastAsia="方正仿宋_GBK" w:cs="方正仿宋_GBK"/>
          <w:sz w:val="32"/>
          <w:szCs w:val="32"/>
          <w:lang w:val="en-US" w:eastAsia="zh-CN"/>
        </w:rPr>
        <w:t>65</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val="en-US" w:eastAsia="zh-CN"/>
        </w:rPr>
        <w:t>比</w:t>
      </w:r>
      <w:r>
        <w:rPr>
          <w:rFonts w:hint="eastAsia" w:ascii="Times New Roman" w:hAnsi="Times New Roman" w:eastAsia="方正仿宋_GBK" w:cs="方正仿宋_GBK"/>
          <w:sz w:val="32"/>
          <w:szCs w:val="32"/>
        </w:rPr>
        <w:t>2023年</w:t>
      </w:r>
      <w:r>
        <w:rPr>
          <w:rFonts w:hint="eastAsia" w:ascii="Times New Roman" w:hAnsi="Times New Roman" w:eastAsia="方正仿宋_GBK" w:cs="方正仿宋_GBK"/>
          <w:sz w:val="32"/>
          <w:szCs w:val="32"/>
          <w:lang w:val="en-US" w:eastAsia="zh-CN"/>
        </w:rPr>
        <w:t>增加5万元，主要原因是接待批次增加</w:t>
      </w:r>
      <w:r>
        <w:rPr>
          <w:rFonts w:hint="eastAsia" w:ascii="Times New Roman" w:hAnsi="Times New Roman" w:eastAsia="方正仿宋_GBK" w:cs="方正仿宋_GBK"/>
          <w:sz w:val="32"/>
          <w:szCs w:val="32"/>
        </w:rPr>
        <w:t>；公务用车运行维护费</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万元，比2023年减少</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val="en-US" w:eastAsia="zh-CN"/>
        </w:rPr>
        <w:t>公车数量减少</w:t>
      </w:r>
      <w:r>
        <w:rPr>
          <w:rFonts w:hint="eastAsia" w:ascii="Times New Roman" w:hAnsi="Times New Roman" w:eastAsia="方正仿宋_GBK" w:cs="方正仿宋_GBK"/>
          <w:sz w:val="32"/>
          <w:szCs w:val="32"/>
        </w:rPr>
        <w:t>；公务用车购置费</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val="en-US" w:eastAsia="zh-CN"/>
        </w:rPr>
        <w:t>与</w:t>
      </w:r>
      <w:r>
        <w:rPr>
          <w:rFonts w:hint="eastAsia" w:ascii="Times New Roman" w:hAnsi="Times New Roman" w:eastAsia="方正仿宋_GBK" w:cs="方正仿宋_GBK"/>
          <w:sz w:val="32"/>
          <w:szCs w:val="32"/>
        </w:rPr>
        <w:t>2023年</w:t>
      </w:r>
      <w:r>
        <w:rPr>
          <w:rFonts w:hint="eastAsia" w:ascii="Times New Roman" w:hAnsi="Times New Roman" w:eastAsia="方正仿宋_GBK" w:cs="方正仿宋_GBK"/>
          <w:sz w:val="32"/>
          <w:szCs w:val="32"/>
          <w:lang w:val="en-US" w:eastAsia="zh-CN"/>
        </w:rPr>
        <w:t>持平</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机关运行经费。</w:t>
      </w:r>
      <w:r>
        <w:rPr>
          <w:rFonts w:hint="eastAsia" w:ascii="Times New Roman" w:hAnsi="Times New Roman" w:eastAsia="方正仿宋_GBK" w:cs="方正仿宋_GBK"/>
          <w:sz w:val="32"/>
          <w:szCs w:val="32"/>
        </w:rPr>
        <w:t>2024年一般公共预算财政拨款运行经费</w:t>
      </w:r>
      <w:r>
        <w:rPr>
          <w:rFonts w:hint="eastAsia" w:ascii="Times New Roman" w:hAnsi="Times New Roman" w:eastAsia="方正仿宋_GBK" w:cs="方正仿宋_GBK"/>
          <w:sz w:val="32"/>
          <w:szCs w:val="32"/>
          <w:lang w:val="en-US" w:eastAsia="zh-CN"/>
        </w:rPr>
        <w:t>48.21</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46.7</w:t>
      </w:r>
      <w:r>
        <w:rPr>
          <w:rFonts w:hint="eastAsia" w:ascii="Times New Roman" w:hAnsi="Times New Roman" w:eastAsia="方正仿宋_GBK" w:cs="方正仿宋_GBK"/>
          <w:sz w:val="32"/>
          <w:szCs w:val="32"/>
        </w:rPr>
        <w:t>万元，主要原因为</w:t>
      </w:r>
      <w:r>
        <w:rPr>
          <w:rFonts w:hint="eastAsia" w:ascii="Times New Roman" w:hAnsi="Times New Roman" w:eastAsia="方正仿宋_GBK" w:cs="方正仿宋_GBK"/>
          <w:sz w:val="32"/>
          <w:szCs w:val="32"/>
          <w:lang w:val="en-US" w:eastAsia="zh-CN"/>
        </w:rPr>
        <w:t>下属事业单位区机关运保中心单独预算</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pacing w:val="-6"/>
          <w:sz w:val="32"/>
          <w:szCs w:val="32"/>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2</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政府采购情况。</w:t>
      </w:r>
      <w:r>
        <w:rPr>
          <w:rFonts w:hint="eastAsia" w:ascii="Times New Roman" w:hAnsi="Times New Roman" w:eastAsia="方正仿宋_GBK" w:cs="方正仿宋_GBK"/>
          <w:spacing w:val="-6"/>
          <w:sz w:val="32"/>
          <w:szCs w:val="32"/>
        </w:rPr>
        <w:t>所属各预算单位政府采购预算总额</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万元：政府采购货物预算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万元、政府采购工程预算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万元、政府采购服务预算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万元；一般公共预算拨款政府采购</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万元：政府采购货物预算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万元、政府采购工程预算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万元、政府采购服务预算</w:t>
      </w:r>
      <w:r>
        <w:rPr>
          <w:rFonts w:hint="eastAsia" w:ascii="Times New Roman" w:hAnsi="Times New Roman" w:eastAsia="方正仿宋_GBK" w:cs="方正仿宋_GBK"/>
          <w:spacing w:val="-6"/>
          <w:sz w:val="32"/>
          <w:szCs w:val="32"/>
          <w:lang w:val="en-US" w:eastAsia="zh-CN"/>
        </w:rPr>
        <w:t>0</w:t>
      </w:r>
      <w:r>
        <w:rPr>
          <w:rFonts w:hint="eastAsia" w:ascii="Times New Roman" w:hAnsi="Times New Roman" w:eastAsia="方正仿宋_GBK" w:cs="方正仿宋_GBK"/>
          <w:spacing w:val="-6"/>
          <w:sz w:val="32"/>
          <w:szCs w:val="32"/>
        </w:rPr>
        <w:t>万元。</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sz w:val="32"/>
          <w:szCs w:val="32"/>
        </w:rPr>
        <w:t>3</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绩效目标设置情况。</w:t>
      </w:r>
      <w:r>
        <w:rPr>
          <w:rFonts w:hint="eastAsia" w:ascii="Times New Roman" w:hAnsi="Times New Roman" w:eastAsia="方正仿宋_GBK" w:cs="方正仿宋_GBK"/>
          <w:color w:val="000000"/>
          <w:sz w:val="32"/>
          <w:szCs w:val="32"/>
        </w:rPr>
        <w:t>2024年项目支出均实行了绩效目标管理，涉及一般公共预算当年财政拨款</w:t>
      </w:r>
      <w:r>
        <w:rPr>
          <w:rFonts w:hint="eastAsia" w:ascii="Times New Roman" w:hAnsi="Times New Roman" w:eastAsia="方正仿宋_GBK" w:cs="方正仿宋_GBK"/>
          <w:color w:val="000000"/>
          <w:sz w:val="32"/>
          <w:szCs w:val="32"/>
          <w:lang w:val="en-US" w:eastAsia="zh-CN"/>
        </w:rPr>
        <w:t>406</w:t>
      </w:r>
      <w:r>
        <w:rPr>
          <w:rFonts w:hint="eastAsia" w:ascii="Times New Roman" w:hAnsi="Times New Roman" w:eastAsia="方正仿宋_GBK" w:cs="方正仿宋_GBK"/>
          <w:color w:val="000000"/>
          <w:sz w:val="32"/>
          <w:szCs w:val="32"/>
        </w:rPr>
        <w:t>万元。</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sz w:val="32"/>
          <w:szCs w:val="32"/>
        </w:rPr>
        <w:t>4</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国有资产占有使用情况。</w:t>
      </w:r>
      <w:r>
        <w:rPr>
          <w:rFonts w:hint="eastAsia" w:ascii="Times New Roman" w:hAnsi="Times New Roman" w:eastAsia="方正仿宋_GBK" w:cs="方正仿宋_GBK"/>
          <w:color w:val="000000"/>
          <w:sz w:val="32"/>
          <w:szCs w:val="32"/>
          <w:lang w:eastAsia="zh-CN"/>
        </w:rPr>
        <w:t>截至</w:t>
      </w:r>
      <w:r>
        <w:rPr>
          <w:rFonts w:hint="eastAsia" w:ascii="Times New Roman" w:hAnsi="Times New Roman" w:eastAsia="方正仿宋_GBK" w:cs="方正仿宋_GBK"/>
          <w:color w:val="000000"/>
          <w:sz w:val="32"/>
          <w:szCs w:val="32"/>
        </w:rPr>
        <w:t>2023年12月，所属各预算单位共有车辆</w:t>
      </w:r>
      <w:r>
        <w:rPr>
          <w:rFonts w:hint="eastAsia" w:ascii="Times New Roman" w:hAnsi="Times New Roman" w:eastAsia="方正仿宋_GBK" w:cs="方正仿宋_GBK"/>
          <w:color w:val="000000"/>
          <w:sz w:val="32"/>
          <w:szCs w:val="32"/>
          <w:lang w:val="en-US" w:eastAsia="zh-CN"/>
        </w:rPr>
        <w:t>6</w:t>
      </w:r>
      <w:r>
        <w:rPr>
          <w:rFonts w:hint="eastAsia" w:ascii="Times New Roman" w:hAnsi="Times New Roman" w:eastAsia="方正仿宋_GBK" w:cs="方正仿宋_GBK"/>
          <w:color w:val="000000"/>
          <w:sz w:val="32"/>
          <w:szCs w:val="32"/>
        </w:rPr>
        <w:t>辆，其中一般公务用车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辆、执勤执法用车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辆。2024年一般公共预算安排购置车辆</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辆，其中一般公务用车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辆、执勤执法用车</w:t>
      </w:r>
      <w:r>
        <w:rPr>
          <w:rFonts w:hint="eastAsia" w:ascii="Times New Roman" w:hAnsi="Times New Roman" w:eastAsia="方正仿宋_GBK" w:cs="方正仿宋_GBK"/>
          <w:color w:val="000000"/>
          <w:sz w:val="32"/>
          <w:szCs w:val="32"/>
          <w:lang w:val="en-US" w:eastAsia="zh-CN"/>
        </w:rPr>
        <w:t>0</w:t>
      </w:r>
      <w:r>
        <w:rPr>
          <w:rFonts w:hint="eastAsia" w:ascii="Times New Roman" w:hAnsi="Times New Roman" w:eastAsia="方正仿宋_GBK" w:cs="方正仿宋_GBK"/>
          <w:color w:val="000000"/>
          <w:sz w:val="32"/>
          <w:szCs w:val="32"/>
        </w:rPr>
        <w:t>辆。</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（二）其他收入：</w:t>
      </w:r>
      <w:r>
        <w:rPr>
          <w:rFonts w:hint="eastAsia" w:ascii="Times New Roman" w:hAnsi="Times New Roman" w:eastAsia="方正仿宋_GBK" w:cs="方正仿宋_GBK"/>
          <w:sz w:val="32"/>
          <w:szCs w:val="32"/>
        </w:rPr>
        <w:t>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（三）基本支出：</w:t>
      </w:r>
      <w:r>
        <w:rPr>
          <w:rFonts w:hint="eastAsia" w:ascii="Times New Roman" w:hAnsi="Times New Roman" w:eastAsia="方正仿宋_GBK" w:cs="方正仿宋_GBK"/>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kern w:val="2"/>
          <w:sz w:val="32"/>
          <w:szCs w:val="32"/>
          <w:lang w:val="en-US" w:eastAsia="zh-CN" w:bidi="ar-SA"/>
        </w:rPr>
        <w:t>（四）项目支出：</w:t>
      </w:r>
      <w:r>
        <w:rPr>
          <w:rFonts w:hint="eastAsia" w:ascii="Times New Roman" w:hAnsi="Times New Roman"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第二部分：2024年部门预算公开报表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2024年部门预算公开报表（详见附表</w:t>
      </w:r>
      <w:r>
        <w:rPr>
          <w:rFonts w:hint="eastAsia" w:ascii="Times New Roman" w:hAnsi="Times New Roman" w:eastAsia="方正黑体_GBK" w:cs="方正黑体_GBK"/>
          <w:sz w:val="32"/>
          <w:szCs w:val="32"/>
          <w:lang w:val="en-US" w:eastAsia="zh-CN"/>
        </w:rPr>
        <w:t>重庆市开州区机关事务管理中心（本级）</w:t>
      </w:r>
      <w:r>
        <w:rPr>
          <w:rFonts w:hint="eastAsia" w:ascii="Times New Roman" w:hAnsi="Times New Roman" w:eastAsia="方正黑体_GBK" w:cs="方正黑体_GBK"/>
          <w:sz w:val="32"/>
          <w:szCs w:val="32"/>
        </w:rPr>
        <w:t>2024年部门预算公开报表）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部门预算公开联系人：廖杰常  联系方式：023-52808666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sectPr>
      <w:footerReference r:id="rId4" w:type="default"/>
      <w:pgSz w:w="11906" w:h="16838"/>
      <w:pgMar w:top="1984" w:right="1446" w:bottom="1644" w:left="1446" w:header="851" w:footer="147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YTgzNjkxMTEwYTc0MzI0MThkMDIzNjA5Nzc5MzUifQ=="/>
    <w:docVar w:name="KSO_WPS_MARK_KEY" w:val="e5e541c0-1576-4734-a18e-af7551e619a3"/>
  </w:docVars>
  <w:rsids>
    <w:rsidRoot w:val="00000000"/>
    <w:rsid w:val="09E816F7"/>
    <w:rsid w:val="155F3CAD"/>
    <w:rsid w:val="1A0B1CDB"/>
    <w:rsid w:val="1C7134B8"/>
    <w:rsid w:val="21862E6E"/>
    <w:rsid w:val="245C4F1A"/>
    <w:rsid w:val="26881B2A"/>
    <w:rsid w:val="32F87768"/>
    <w:rsid w:val="33D712F0"/>
    <w:rsid w:val="371C0798"/>
    <w:rsid w:val="37DF5322"/>
    <w:rsid w:val="3C4C6D4F"/>
    <w:rsid w:val="3E955EB8"/>
    <w:rsid w:val="3F136705"/>
    <w:rsid w:val="40127024"/>
    <w:rsid w:val="40440A50"/>
    <w:rsid w:val="44CA4135"/>
    <w:rsid w:val="4D4001B9"/>
    <w:rsid w:val="53053093"/>
    <w:rsid w:val="53773265"/>
    <w:rsid w:val="541E6832"/>
    <w:rsid w:val="55CC4966"/>
    <w:rsid w:val="5B7B5B80"/>
    <w:rsid w:val="5BA741AF"/>
    <w:rsid w:val="5D171D06"/>
    <w:rsid w:val="601B3392"/>
    <w:rsid w:val="68386E13"/>
    <w:rsid w:val="687872FC"/>
    <w:rsid w:val="6C882052"/>
    <w:rsid w:val="6D972F7C"/>
    <w:rsid w:val="6F40256E"/>
    <w:rsid w:val="709378A8"/>
    <w:rsid w:val="79C8563A"/>
    <w:rsid w:val="7B845591"/>
    <w:rsid w:val="7BBF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3">
    <w:name w:val="Body Text"/>
    <w:basedOn w:val="1"/>
    <w:unhideWhenUsed/>
    <w:qFormat/>
    <w:uiPriority w:val="0"/>
    <w:pPr>
      <w:autoSpaceDE w:val="0"/>
      <w:autoSpaceDN w:val="0"/>
    </w:pPr>
    <w:rPr>
      <w:rFonts w:cs="Times New Roman"/>
      <w:szCs w:val="24"/>
      <w:lang w:val="zh-CN" w:bidi="zh-CN"/>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51"/>
    <w:basedOn w:val="7"/>
    <w:qFormat/>
    <w:uiPriority w:val="0"/>
    <w:rPr>
      <w:rFonts w:hint="eastAsia" w:ascii="方正仿宋_GBK" w:hAnsi="方正仿宋_GBK" w:eastAsia="方正仿宋_GBK" w:cs="方正仿宋_GBK"/>
      <w:color w:val="000000"/>
      <w:sz w:val="24"/>
      <w:szCs w:val="24"/>
      <w:u w:val="none"/>
    </w:rPr>
  </w:style>
  <w:style w:type="paragraph" w:customStyle="1"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Info spid="_x0000_s1032"/>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2515</Words>
  <Characters>2714</Characters>
  <Lines>0</Lines>
  <Paragraphs>0</Paragraphs>
  <TotalTime>0</TotalTime>
  <ScaleCrop>false</ScaleCrop>
  <LinksUpToDate>false</LinksUpToDate>
  <CharactersWithSpaces>2721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2022-10-24T09:44:00Z</dcterms:created>
  <dc:creator>Administrator</dc:creator>
  <cp:lastModifiedBy>张雷</cp:lastModifiedBy>
  <cp:lastPrinted>2023-12-29T01:31:00Z</cp:lastPrinted>
  <dcterms:modified xsi:type="dcterms:W3CDTF">2024-03-31T08:23:25Z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12DD0C4C7C2743288EBD9E0378FE5E84_13</vt:lpwstr>
  </property>
</Properties>
</file>