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1" w:rightFromText="181" w:horzAnchor="margin" w:tblpYSpec="top"/>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3" w:type="dxa"/>
            <w:noWrap/>
          </w:tcPr>
          <w:p>
            <w:pPr>
              <w:spacing w:line="600" w:lineRule="exact"/>
              <w:rPr>
                <w:kern w:val="0"/>
                <w:sz w:val="20"/>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3" w:type="dxa"/>
            <w:noWrap/>
          </w:tcPr>
          <w:p>
            <w:pPr>
              <w:spacing w:line="600" w:lineRule="exact"/>
              <w:rPr>
                <w:rFonts w:eastAsia="方正黑体_GBK"/>
                <w:kern w:val="0"/>
                <w:sz w:val="20"/>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trPr>
        <w:tc>
          <w:tcPr>
            <w:tcW w:w="8833" w:type="dxa"/>
            <w:noWrap/>
            <w:vAlign w:val="center"/>
          </w:tcPr>
          <w:p>
            <w:pPr>
              <w:ind w:firstLine="335"/>
              <w:jc w:val="center"/>
              <w:rPr>
                <w:rFonts w:eastAsia="方正小标宋简体"/>
                <w:color w:val="FF0000"/>
                <w:w w:val="80"/>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exact"/>
        </w:trPr>
        <w:tc>
          <w:tcPr>
            <w:tcW w:w="8833" w:type="dxa"/>
            <w:noWrap/>
            <w:vAlign w:val="center"/>
          </w:tcPr>
          <w:p>
            <w:pPr>
              <w:rPr>
                <w:rFonts w:eastAsia="方正小标宋_GBK"/>
                <w:b/>
                <w:color w:val="FF3300"/>
                <w:w w:val="40"/>
                <w:kern w:val="0"/>
                <w:sz w:val="128"/>
                <w:szCs w:val="128"/>
              </w:rPr>
            </w:pPr>
            <w:r>
              <w:rPr>
                <w:rFonts w:eastAsia="方正小标宋_GBK"/>
                <w:b/>
                <w:color w:val="FF3300"/>
                <w:w w:val="40"/>
                <w:kern w:val="0"/>
                <w:sz w:val="128"/>
                <w:szCs w:val="128"/>
              </w:rPr>
              <w:t>重庆市开州区</w:t>
            </w:r>
            <w:r>
              <w:rPr>
                <w:rFonts w:hint="eastAsia" w:eastAsia="方正小标宋_GBK"/>
                <w:b/>
                <w:color w:val="FF3300"/>
                <w:w w:val="40"/>
                <w:kern w:val="0"/>
                <w:sz w:val="128"/>
                <w:szCs w:val="128"/>
              </w:rPr>
              <w:t>行政体制改革研究中心</w:t>
            </w:r>
            <w:r>
              <w:rPr>
                <w:rFonts w:eastAsia="方正小标宋_GBK"/>
                <w:b/>
                <w:color w:val="FF3300"/>
                <w:w w:val="40"/>
                <w:kern w:val="0"/>
                <w:sz w:val="128"/>
                <w:szCs w:val="128"/>
              </w:rPr>
              <w:t>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exact"/>
        </w:trPr>
        <w:tc>
          <w:tcPr>
            <w:tcW w:w="8833" w:type="dxa"/>
            <w:noWrap/>
            <w:vAlign w:val="bottom"/>
          </w:tcPr>
          <w:p>
            <w:pPr>
              <w:spacing w:line="540" w:lineRule="exact"/>
              <w:ind w:firstLine="156" w:firstLineChars="49"/>
              <w:rPr>
                <w:kern w:val="0"/>
                <w:sz w:val="34"/>
                <w:szCs w:val="34"/>
              </w:rPr>
            </w:pPr>
            <w:r>
              <w:rPr>
                <w:rFonts w:hint="eastAsia" w:eastAsia="方正仿宋_GBK"/>
                <w:kern w:val="0"/>
                <w:sz w:val="32"/>
              </w:rPr>
              <w:t>行政体制改革</w:t>
            </w:r>
            <w:r>
              <w:rPr>
                <w:rFonts w:eastAsia="方正仿宋_GBK"/>
                <w:kern w:val="0"/>
                <w:sz w:val="32"/>
              </w:rPr>
              <w:t>文〔2024〕</w:t>
            </w:r>
            <w:r>
              <w:rPr>
                <w:rFonts w:hint="eastAsia" w:eastAsia="方正仿宋_GBK"/>
                <w:kern w:val="0"/>
                <w:sz w:val="32"/>
                <w:lang w:val="en-US" w:eastAsia="zh-CN"/>
              </w:rPr>
              <w:t>12</w:t>
            </w:r>
            <w:r>
              <w:rPr>
                <w:rFonts w:eastAsia="方正仿宋_GBK"/>
                <w:kern w:val="0"/>
                <w:sz w:val="32"/>
              </w:rPr>
              <w:t>号              签发人：</w:t>
            </w:r>
            <w:r>
              <w:rPr>
                <w:rFonts w:hint="eastAsia" w:eastAsia="方正楷体_GBK"/>
                <w:kern w:val="0"/>
                <w:sz w:val="32"/>
              </w:rPr>
              <w:t>张  丹</w:t>
            </w:r>
          </w:p>
          <w:p>
            <w:pPr>
              <w:spacing w:line="540" w:lineRule="exact"/>
              <w:ind w:firstLine="1040"/>
              <w:rPr>
                <w:color w:val="FF3300"/>
                <w:kern w:val="0"/>
                <w:sz w:val="52"/>
                <w:szCs w:val="52"/>
              </w:rPr>
            </w:pPr>
            <w:r>
              <w:rPr>
                <w:color w:val="FF3300"/>
                <w:kern w:val="0"/>
                <w:sz w:val="52"/>
                <w:szCs w:val="52"/>
              </w:rPr>
              <w:pict>
                <v:line id="直接连接符 3" o:spid="_x0000_s1028" o:spt="20" style="position:absolute;left:0pt;margin-left:-0.25pt;margin-top:13.55pt;height:0pt;width:202.45pt;z-index:251659264;mso-width-relative:page;mso-height-relative:page;" stroked="t" coordsize="21600,21600" o:gfxdata="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Hu8INcAAAAJAQAADwAAAAAAAAABACAAAAAiAAAAZHJzL2Rvd25yZXYu&#10;eG1sUEsBAhQAFAAAAAgAh07iQO+kqeH8AQAA8wMAAA4AAAAAAAAAAQAgAAAAJgEAAGRycy9lMm9E&#10;b2MueG1sUEsFBgAAAAAGAAYAWQEAAJQFAAAAAA==&#10;">
                  <v:path arrowok="t"/>
                  <v:fill focussize="0,0"/>
                  <v:stroke weight="2.25pt" color="#FF0000"/>
                  <v:imagedata o:title=""/>
                  <o:lock v:ext="edit"/>
                </v:line>
              </w:pict>
            </w:r>
            <w:r>
              <w:rPr>
                <w:color w:val="FF3300"/>
                <w:kern w:val="0"/>
                <w:sz w:val="52"/>
                <w:szCs w:val="52"/>
              </w:rPr>
              <w:pict>
                <v:line id="直接连接符 2" o:spid="_x0000_s1029" o:spt="20" style="position:absolute;left:0pt;margin-left:234.7pt;margin-top:13.55pt;height:0pt;width:204.6pt;z-index:251660288;mso-width-relative:page;mso-height-relative:page;" stroked="t" coordsize="21600,21600" o:gfxdata="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209rYAAAACQEAAA8AAAAAAAAAAQAgAAAAIgAAAGRycy9kb3ducmV2&#10;LnhtbFBLAQIUABQAAAAIAIdO4kC9Vs5y/AEAAPMDAAAOAAAAAAAAAAEAIAAAACcBAABkcnMvZTJv&#10;RG9jLnhtbFBLBQYAAAAABgAGAFkBAACVBQAAAAA=&#10;">
                  <v:path arrowok="t"/>
                  <v:fill focussize="0,0"/>
                  <v:stroke weight="2.25pt" color="#FF0000"/>
                  <v:imagedata o:title=""/>
                  <o:lock v:ext="edit"/>
                </v:line>
              </w:pict>
            </w:r>
            <w:r>
              <w:rPr>
                <w:color w:val="FF3300"/>
                <w:kern w:val="0"/>
                <w:sz w:val="52"/>
                <w:szCs w:val="52"/>
              </w:rPr>
              <w:t xml:space="preserve">            </w:t>
            </w:r>
            <w:r>
              <w:rPr>
                <w:rFonts w:eastAsia="方正小标宋_GBK"/>
                <w:b/>
                <w:color w:val="FF3300"/>
                <w:kern w:val="0"/>
                <w:sz w:val="52"/>
                <w:szCs w:val="52"/>
              </w:rPr>
              <w:t>★</w:t>
            </w:r>
          </w:p>
        </w:tc>
      </w:tr>
    </w:tbl>
    <w:p/>
    <w:p>
      <w:pPr>
        <w:pStyle w:val="3"/>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eastAsia="方正小标宋_GBK"/>
          <w:szCs w:val="32"/>
        </w:rPr>
      </w:pPr>
      <w:r>
        <w:rPr>
          <w:rFonts w:hint="eastAsia" w:ascii="Times New Roman" w:eastAsia="方正小标宋_GBK"/>
          <w:color w:val="000000"/>
          <w:sz w:val="44"/>
          <w:szCs w:val="44"/>
        </w:rPr>
        <w:t>重庆市开州区行政体制改革研究中心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财政局《关于批复2024年部门预算的通知》（开州财行发〔2024〕18号），现将重庆市开州区行政体制改革研究中心2024年部门预算批复情况公开如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目    录</w:t>
      </w: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楷体_GBK"/>
          <w:sz w:val="32"/>
          <w:szCs w:val="32"/>
        </w:rPr>
      </w:pPr>
      <w:r>
        <w:rPr>
          <w:rFonts w:eastAsia="方正楷体_GBK"/>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六、专业性名词解释（纳入向社会公开范围的部门必须填写！）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pPr>
      <w:r>
        <w:rPr>
          <w:rFonts w:eastAsia="方正楷体_GBK"/>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表1、重庆市开州区行政体制改革研究中心收支预算总表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表2、重庆市开州区行政体制改革研究中心收入总表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表3、重庆市开州区行政体制改革研究中心本年支出预算总表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表4、重庆市开州区行政体制改革研究中心财政拨款收支预算总表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表5、重庆市开州区行政体制改革研究中心本年一般公共预算支出预算表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表6、重庆市开州区行政体制改革研究中心一般公共预算基本支出预算表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表7、重庆市开州区行政体制改革研究中心一般公共预算“三公”经费支出预算表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表8、重庆市开州区行政体制改革研究中心政府性基金预算支出预算表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表9、重庆市开州区行政体制改革研究中心国有资本经营预算支出预算表</w:t>
      </w:r>
    </w:p>
    <w:p>
      <w:pPr>
        <w:rPr>
          <w:rFonts w:eastAsia="方正仿宋_GBK"/>
          <w:sz w:val="32"/>
          <w:szCs w:val="32"/>
        </w:rPr>
      </w:pPr>
      <w:r>
        <w:rPr>
          <w:rFonts w:eastAsia="方正仿宋_GBK"/>
          <w:sz w:val="32"/>
          <w:szCs w:val="32"/>
        </w:rPr>
        <w:t>表10、重庆市开州区行政体制改革研究中心项目支出表</w:t>
      </w:r>
    </w:p>
    <w:p>
      <w:pPr>
        <w:keepNext w:val="0"/>
        <w:keepLines w:val="0"/>
        <w:pageBreakBefore w:val="0"/>
        <w:widowControl w:val="0"/>
        <w:kinsoku/>
        <w:wordWrap/>
        <w:overflowPunct/>
        <w:topLinePunct w:val="0"/>
        <w:autoSpaceDE/>
        <w:autoSpaceDN/>
        <w:bidi w:val="0"/>
        <w:adjustRightInd/>
        <w:snapToGrid/>
        <w:spacing w:line="594" w:lineRule="exact"/>
        <w:textAlignment w:val="auto"/>
      </w:pPr>
      <w:r>
        <w:rPr>
          <w:rFonts w:eastAsia="方正仿宋_GBK"/>
          <w:sz w:val="32"/>
          <w:szCs w:val="32"/>
        </w:rPr>
        <w:t>表11、重庆市开州区行政体制改革研究中心项目绩效目标表</w:t>
      </w: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br w:type="page"/>
      </w:r>
      <w:r>
        <w:rPr>
          <w:rFonts w:eastAsia="方正小标宋_GBK"/>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eastAsia="华文中宋"/>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eastAsia="方正黑体_GBK"/>
          <w:sz w:val="32"/>
        </w:rPr>
      </w:pPr>
      <w:r>
        <w:rPr>
          <w:rFonts w:eastAsia="方正黑体_GBK"/>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楷体_GBK"/>
          <w:sz w:val="32"/>
        </w:rPr>
      </w:pPr>
      <w:r>
        <w:rPr>
          <w:rFonts w:hAnsi="方正楷体_GBK" w:eastAsia="方正楷体_GBK"/>
          <w:sz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rPr>
      </w:pPr>
      <w:r>
        <w:rPr>
          <w:rFonts w:hint="eastAsia" w:eastAsia="方正仿宋_GBK"/>
          <w:sz w:val="32"/>
        </w:rPr>
        <w:t>1.</w:t>
      </w:r>
      <w:r>
        <w:rPr>
          <w:rFonts w:hint="eastAsia" w:eastAsia="方正仿宋_GBK"/>
          <w:sz w:val="32"/>
        </w:rPr>
        <w:tab/>
      </w:r>
      <w:r>
        <w:rPr>
          <w:rFonts w:hint="eastAsia" w:eastAsia="方正仿宋_GBK"/>
          <w:sz w:val="32"/>
        </w:rPr>
        <w:t>学习中央和市级关于行政管理体制改革的法律法规、方针政策，及时研究提出我区贯彻执行的建议意见。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rPr>
      </w:pPr>
      <w:r>
        <w:rPr>
          <w:rFonts w:hint="eastAsia" w:eastAsia="方正仿宋_GBK"/>
          <w:sz w:val="32"/>
        </w:rPr>
        <w:t>2.</w:t>
      </w:r>
      <w:r>
        <w:rPr>
          <w:rFonts w:hint="eastAsia" w:eastAsia="方正仿宋_GBK"/>
          <w:sz w:val="32"/>
        </w:rPr>
        <w:tab/>
      </w:r>
      <w:r>
        <w:rPr>
          <w:rFonts w:hint="eastAsia" w:eastAsia="方正仿宋_GBK"/>
          <w:sz w:val="32"/>
        </w:rPr>
        <w:t>参与行政体制改革事项的前瞻性研究和方案论证，并向区委编办提出科学合理的建议。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rPr>
      </w:pPr>
      <w:r>
        <w:rPr>
          <w:rFonts w:hint="eastAsia" w:eastAsia="方正仿宋_GBK"/>
          <w:sz w:val="32"/>
        </w:rPr>
        <w:t>3.</w:t>
      </w:r>
      <w:r>
        <w:rPr>
          <w:rFonts w:hint="eastAsia" w:eastAsia="方正仿宋_GBK"/>
          <w:sz w:val="32"/>
        </w:rPr>
        <w:tab/>
      </w:r>
      <w:r>
        <w:rPr>
          <w:rFonts w:hint="eastAsia" w:eastAsia="方正仿宋_GBK"/>
          <w:sz w:val="32"/>
        </w:rPr>
        <w:t>参与全区行政管理体制改革重要文稿的起草和合规性审核，负责机构编制工作信息的搜集和报送。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rPr>
      </w:pPr>
      <w:r>
        <w:rPr>
          <w:rFonts w:hint="eastAsia" w:eastAsia="方正仿宋_GBK"/>
          <w:sz w:val="32"/>
        </w:rPr>
        <w:t>4.</w:t>
      </w:r>
      <w:r>
        <w:rPr>
          <w:rFonts w:hint="eastAsia" w:eastAsia="方正仿宋_GBK"/>
          <w:sz w:val="32"/>
        </w:rPr>
        <w:tab/>
      </w:r>
      <w:r>
        <w:rPr>
          <w:rFonts w:hint="eastAsia" w:eastAsia="方正仿宋_GBK"/>
          <w:sz w:val="32"/>
        </w:rPr>
        <w:t>根据区委、区委编委关于机构编制工作的总体部署，按照区委编办的工作安排，制定机构编制管理工作年度调查研究计划，对重要工作组织开展调研、论证和协调。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hint="eastAsia" w:eastAsia="方正仿宋_GBK"/>
          <w:sz w:val="32"/>
        </w:rPr>
        <w:t>5.</w:t>
      </w:r>
      <w:r>
        <w:rPr>
          <w:rFonts w:hint="eastAsia" w:eastAsia="方正仿宋_GBK"/>
          <w:sz w:val="32"/>
        </w:rPr>
        <w:tab/>
      </w:r>
      <w:r>
        <w:rPr>
          <w:rFonts w:hint="eastAsia" w:eastAsia="方正仿宋_GBK"/>
          <w:sz w:val="32"/>
        </w:rPr>
        <w:t>负责事业单位法人登记、机关和群团（纳入机构编制管理）统一社会信用代码赋码具体事务性工作</w:t>
      </w:r>
      <w:r>
        <w:rPr>
          <w:rFonts w:eastAsia="方正仿宋_GBK"/>
          <w:sz w:val="32"/>
        </w:rPr>
        <w:t>。</w:t>
      </w:r>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ascii="Times New Roman" w:hAnsi="Times New Roman" w:eastAsia="方正楷体_GBK"/>
          <w:sz w:val="32"/>
        </w:rPr>
      </w:pPr>
      <w:r>
        <w:rPr>
          <w:rFonts w:ascii="Times New Roman" w:hAnsi="方正楷体_GBK" w:eastAsia="方正楷体_GBK"/>
          <w:sz w:val="32"/>
        </w:rPr>
        <w:t>（二）单位构成</w:t>
      </w:r>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ascii="Times New Roman" w:hAnsi="Times New Roman" w:eastAsia="方正仿宋_GBK"/>
          <w:sz w:val="32"/>
        </w:rPr>
      </w:pPr>
      <w:r>
        <w:rPr>
          <w:rFonts w:hint="eastAsia" w:ascii="Times New Roman" w:hAnsi="Times New Roman" w:eastAsia="方正仿宋_GBK"/>
          <w:sz w:val="32"/>
        </w:rPr>
        <w:t>无</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eastAsia="方正仿宋_GBK"/>
          <w:sz w:val="32"/>
        </w:rPr>
      </w:pPr>
      <w:r>
        <w:rPr>
          <w:rFonts w:eastAsia="方正黑体_GBK"/>
          <w:sz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eastAsia="方正楷体_GBK"/>
          <w:sz w:val="32"/>
        </w:rPr>
        <w:t>（一）收入预算：</w:t>
      </w:r>
      <w:r>
        <w:rPr>
          <w:rFonts w:eastAsia="方正仿宋_GBK"/>
          <w:sz w:val="32"/>
        </w:rPr>
        <w:t>2024年年初预算数</w:t>
      </w:r>
      <w:r>
        <w:rPr>
          <w:rFonts w:hint="eastAsia" w:eastAsia="方正仿宋_GBK"/>
          <w:sz w:val="32"/>
        </w:rPr>
        <w:t>86.8</w:t>
      </w:r>
      <w:r>
        <w:rPr>
          <w:rFonts w:eastAsia="方正仿宋_GBK"/>
          <w:sz w:val="32"/>
        </w:rPr>
        <w:t>万元，其中：一般公共预算拨款</w:t>
      </w:r>
      <w:r>
        <w:rPr>
          <w:rFonts w:hint="eastAsia" w:eastAsia="方正仿宋_GBK"/>
          <w:sz w:val="32"/>
        </w:rPr>
        <w:t>86.8</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eastAsia="方正楷体_GBK"/>
          <w:sz w:val="32"/>
        </w:rPr>
        <w:t>（二）支出预算：</w:t>
      </w:r>
      <w:r>
        <w:rPr>
          <w:rFonts w:eastAsia="方正仿宋_GBK"/>
          <w:sz w:val="32"/>
        </w:rPr>
        <w:t>2024年年初预算数</w:t>
      </w:r>
      <w:r>
        <w:rPr>
          <w:rFonts w:hint="eastAsia" w:eastAsia="方正仿宋_GBK"/>
          <w:sz w:val="32"/>
        </w:rPr>
        <w:t>86.8</w:t>
      </w:r>
      <w:r>
        <w:rPr>
          <w:rFonts w:eastAsia="方正仿宋_GBK"/>
          <w:sz w:val="32"/>
        </w:rPr>
        <w:t>万元，其中：一般公共服务支出预算</w:t>
      </w:r>
      <w:r>
        <w:rPr>
          <w:rFonts w:hint="eastAsia" w:eastAsia="方正仿宋_GBK"/>
          <w:sz w:val="32"/>
          <w:lang w:val="en-US" w:eastAsia="zh-CN"/>
        </w:rPr>
        <w:t>63.92</w:t>
      </w:r>
      <w:r>
        <w:rPr>
          <w:rFonts w:eastAsia="方正仿宋_GBK"/>
          <w:sz w:val="32"/>
        </w:rPr>
        <w:t>万元</w:t>
      </w:r>
      <w:r>
        <w:rPr>
          <w:rFonts w:hint="eastAsia" w:eastAsia="方正仿宋_GBK"/>
          <w:sz w:val="32"/>
          <w:lang w:eastAsia="zh-CN"/>
        </w:rPr>
        <w:t>，社会保障和就业支出</w:t>
      </w:r>
      <w:r>
        <w:rPr>
          <w:rFonts w:hint="eastAsia" w:eastAsia="方正仿宋_GBK"/>
          <w:sz w:val="32"/>
          <w:lang w:val="en-US" w:eastAsia="zh-CN"/>
        </w:rPr>
        <w:t>11.43万元，卫生健康支出5.26万元，住房保障支出6.2万元</w:t>
      </w:r>
      <w:r>
        <w:rPr>
          <w:rFonts w:eastAsia="方正仿宋_GBK"/>
          <w:sz w:val="32"/>
        </w:rPr>
        <w:t>。</w:t>
      </w:r>
      <w:r>
        <w:rPr>
          <w:rFonts w:hint="eastAsia" w:eastAsia="方正仿宋_GBK"/>
          <w:sz w:val="32"/>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eastAsia="方正黑体_GBK"/>
          <w:sz w:val="32"/>
        </w:rPr>
      </w:pPr>
      <w:r>
        <w:rPr>
          <w:rFonts w:eastAsia="方正黑体_GBK"/>
          <w:sz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eastAsia="方正仿宋_GBK"/>
          <w:sz w:val="32"/>
        </w:rPr>
        <w:t>2024年一般公共预算财政拨款收入</w:t>
      </w:r>
      <w:r>
        <w:rPr>
          <w:rFonts w:hint="eastAsia" w:eastAsia="方正仿宋_GBK"/>
          <w:sz w:val="32"/>
        </w:rPr>
        <w:t>86.8</w:t>
      </w:r>
      <w:r>
        <w:rPr>
          <w:rFonts w:eastAsia="方正仿宋_GBK"/>
          <w:sz w:val="32"/>
        </w:rPr>
        <w:t>万元，一般公共预算财政拨款支出</w:t>
      </w:r>
      <w:r>
        <w:rPr>
          <w:rFonts w:hint="eastAsia" w:eastAsia="方正仿宋_GBK"/>
          <w:sz w:val="32"/>
        </w:rPr>
        <w:t>86.8</w:t>
      </w:r>
      <w:r>
        <w:rPr>
          <w:rFonts w:eastAsia="方正仿宋_GBK"/>
          <w:sz w:val="32"/>
        </w:rPr>
        <w:t>万元。其中：基本支出</w:t>
      </w:r>
      <w:r>
        <w:rPr>
          <w:rFonts w:hint="eastAsia" w:eastAsia="方正仿宋_GBK"/>
          <w:sz w:val="32"/>
        </w:rPr>
        <w:t>86.8</w:t>
      </w:r>
      <w:r>
        <w:rPr>
          <w:rFonts w:eastAsia="方正仿宋_GBK"/>
          <w:sz w:val="32"/>
        </w:rPr>
        <w:t>万元。</w:t>
      </w:r>
      <w:r>
        <w:rPr>
          <w:rFonts w:hint="eastAsia" w:eastAsia="方正仿宋_GBK"/>
          <w:sz w:val="32"/>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eastAsia="方正仿宋_GBK"/>
          <w:sz w:val="32"/>
        </w:rPr>
      </w:pPr>
      <w:r>
        <w:rPr>
          <w:rFonts w:eastAsia="方正黑体_GBK"/>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eastAsia="方正仿宋_GBK"/>
          <w:sz w:val="32"/>
        </w:rPr>
      </w:pPr>
      <w:r>
        <w:rPr>
          <w:rFonts w:hint="eastAsia" w:eastAsia="方正仿宋_GBK"/>
          <w:sz w:val="32"/>
        </w:rPr>
        <w:t>无</w:t>
      </w:r>
      <w:r>
        <w:rPr>
          <w:rFonts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eastAsia="方正黑体_GBK"/>
          <w:sz w:val="32"/>
        </w:rPr>
      </w:pPr>
      <w:r>
        <w:rPr>
          <w:rFonts w:eastAsia="方正黑体_GBK"/>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eastAsia="方正仿宋_GBK"/>
          <w:b/>
          <w:sz w:val="32"/>
        </w:rPr>
        <w:t>1、机关运行经费。</w:t>
      </w:r>
      <w:r>
        <w:rPr>
          <w:rFonts w:eastAsia="方正仿宋_GBK"/>
          <w:sz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rPr>
      </w:pPr>
      <w:r>
        <w:rPr>
          <w:rFonts w:eastAsia="方正仿宋_GBK"/>
          <w:b/>
          <w:sz w:val="32"/>
        </w:rPr>
        <w:t>2、政府采购情况。</w:t>
      </w:r>
      <w:r>
        <w:rPr>
          <w:rFonts w:eastAsia="方正仿宋_GBK"/>
          <w:sz w:val="32"/>
        </w:rPr>
        <w:t>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000000"/>
          <w:sz w:val="32"/>
        </w:rPr>
      </w:pPr>
      <w:r>
        <w:rPr>
          <w:rFonts w:eastAsia="方正仿宋_GBK"/>
          <w:b/>
          <w:sz w:val="32"/>
        </w:rPr>
        <w:t>3、绩效目标设置情况。</w:t>
      </w:r>
      <w:r>
        <w:rPr>
          <w:rFonts w:hint="eastAsia" w:eastAsia="方正仿宋_GBK"/>
          <w:color w:val="000000"/>
          <w:sz w:val="32"/>
        </w:rPr>
        <w:t>无</w:t>
      </w:r>
      <w:r>
        <w:rPr>
          <w:rFonts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rPr>
        <w:t>无</w:t>
      </w:r>
      <w:r>
        <w:rPr>
          <w:rFonts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 w:val="32"/>
        </w:rPr>
      </w:pPr>
      <w:r>
        <w:rPr>
          <w:rFonts w:eastAsia="方正黑体_GBK"/>
          <w:sz w:val="32"/>
        </w:rPr>
        <w:t>六、专业性名词解释</w:t>
      </w:r>
      <w:bookmarkStart w:id="0" w:name="_GoBack"/>
      <w:bookmarkEnd w:id="0"/>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小标宋_GBK"/>
          <w:sz w:val="44"/>
          <w:szCs w:val="44"/>
        </w:rPr>
      </w:pPr>
    </w:p>
    <w:p>
      <w:pPr>
        <w:pStyle w:val="2"/>
        <w:rPr>
          <w:rFonts w:eastAsia="方正小标宋_GBK"/>
          <w:sz w:val="44"/>
          <w:szCs w:val="44"/>
        </w:rPr>
      </w:pPr>
    </w:p>
    <w:p>
      <w:pPr>
        <w:rPr>
          <w:rFonts w:eastAsia="方正小标宋_GBK"/>
          <w:sz w:val="44"/>
          <w:szCs w:val="44"/>
        </w:rPr>
      </w:pPr>
    </w:p>
    <w:p>
      <w:pPr>
        <w:pStyle w:val="2"/>
        <w:rPr>
          <w:rFonts w:eastAsia="方正小标宋_GBK"/>
          <w:sz w:val="44"/>
          <w:szCs w:val="44"/>
        </w:rPr>
      </w:pPr>
    </w:p>
    <w:p>
      <w:pPr>
        <w:rPr>
          <w:rFonts w:eastAsia="方正小标宋_GBK"/>
          <w:sz w:val="44"/>
          <w:szCs w:val="44"/>
        </w:rPr>
      </w:pPr>
    </w:p>
    <w:p>
      <w:pPr>
        <w:pStyle w:val="2"/>
        <w:rPr>
          <w:rFonts w:eastAsia="方正小标宋_GBK"/>
          <w:sz w:val="44"/>
          <w:szCs w:val="44"/>
        </w:rPr>
      </w:pPr>
    </w:p>
    <w:p>
      <w:pPr>
        <w:rPr>
          <w:rFonts w:eastAsia="方正小标宋_GBK"/>
          <w:sz w:val="44"/>
          <w:szCs w:val="44"/>
        </w:rPr>
      </w:pPr>
    </w:p>
    <w:p>
      <w:pPr>
        <w:pStyle w:val="2"/>
        <w:rPr>
          <w:rFonts w:eastAsia="方正小标宋_GBK"/>
          <w:sz w:val="44"/>
          <w:szCs w:val="44"/>
        </w:rPr>
      </w:pPr>
    </w:p>
    <w:p>
      <w:pPr>
        <w:rPr>
          <w:rFonts w:eastAsia="方正小标宋_GBK"/>
          <w:sz w:val="44"/>
          <w:szCs w:val="44"/>
        </w:rPr>
      </w:pPr>
    </w:p>
    <w:p>
      <w:pPr>
        <w:pStyle w:val="2"/>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pStyle w:val="2"/>
        <w:rPr>
          <w:rFonts w:hint="eastAsia"/>
        </w:rPr>
      </w:pPr>
    </w:p>
    <w:p>
      <w:pPr>
        <w:pStyle w:val="2"/>
        <w:ind w:firstLine="640" w:firstLineChars="200"/>
      </w:pPr>
      <w:r>
        <w:rPr>
          <w:rFonts w:hint="eastAsia" w:ascii="Times New Roman" w:hAnsi="Times New Roman" w:eastAsia="方正黑体_GBK" w:cs="Times New Roman"/>
          <w:kern w:val="2"/>
          <w:sz w:val="32"/>
          <w:szCs w:val="24"/>
          <w:lang w:val="en-US" w:eastAsia="zh-CN" w:bidi="ar-SA"/>
        </w:rPr>
        <w:t>2024年部门预算公开报表（详见附表</w:t>
      </w:r>
      <w:r>
        <w:rPr>
          <w:rFonts w:hint="default" w:ascii="Times New Roman" w:hAnsi="Times New Roman" w:eastAsia="方正黑体_GBK" w:cs="Times New Roman"/>
          <w:kern w:val="2"/>
          <w:sz w:val="32"/>
          <w:szCs w:val="24"/>
          <w:lang w:val="en-US" w:eastAsia="zh-CN" w:bidi="ar-SA"/>
        </w:rPr>
        <w:t>重庆市开州区行政体制改革研究中</w:t>
      </w:r>
      <w:r>
        <w:rPr>
          <w:rFonts w:hint="eastAsia" w:ascii="Times New Roman" w:hAnsi="Times New Roman" w:eastAsia="方正黑体_GBK" w:cs="Times New Roman"/>
          <w:kern w:val="2"/>
          <w:sz w:val="32"/>
          <w:szCs w:val="24"/>
          <w:lang w:val="en-US" w:eastAsia="zh-CN" w:bidi="ar-SA"/>
        </w:rPr>
        <w:t>2024年部门预算公开报表）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32"/>
          <w:szCs w:val="32"/>
        </w:rPr>
      </w:pPr>
      <w:r>
        <w:rPr>
          <w:rFonts w:eastAsia="方正仿宋_GBK"/>
          <w:b/>
          <w:sz w:val="32"/>
        </w:rPr>
        <w:t>部门预算公开联系人：刘为惟</w:t>
      </w:r>
      <w:r>
        <w:rPr>
          <w:rFonts w:hint="eastAsia" w:eastAsia="方正仿宋_GBK"/>
          <w:b/>
          <w:sz w:val="32"/>
          <w:lang w:val="en-US" w:eastAsia="zh-CN"/>
        </w:rPr>
        <w:t xml:space="preserve">  </w:t>
      </w:r>
      <w:r>
        <w:rPr>
          <w:rFonts w:eastAsia="方正仿宋_GBK"/>
          <w:b/>
          <w:sz w:val="32"/>
        </w:rPr>
        <w:t>联系方式：023</w:t>
      </w:r>
      <w:r>
        <w:rPr>
          <w:rFonts w:hint="eastAsia" w:eastAsia="方正仿宋_GBK"/>
          <w:b/>
          <w:sz w:val="32"/>
          <w:lang w:val="en-US" w:eastAsia="zh-CN"/>
        </w:rPr>
        <w:t>-</w:t>
      </w:r>
      <w:r>
        <w:rPr>
          <w:rFonts w:eastAsia="方正仿宋_GBK"/>
          <w:b/>
          <w:sz w:val="32"/>
        </w:rPr>
        <w:t>52218602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94" w:lineRule="exact"/>
        <w:ind w:firstLine="2880" w:firstLineChars="9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重庆市开州区行政体制改革研究中心</w:t>
      </w: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2024年3月21日</w:t>
      </w:r>
    </w:p>
    <w:p>
      <w:pPr>
        <w:pStyle w:val="2"/>
        <w:rPr>
          <w:rFonts w:hint="default" w:ascii="Times New Roman" w:hAnsi="Times New Roman" w:eastAsia="方正仿宋_GBK" w:cs="Times New Roman"/>
          <w:color w:val="000000"/>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Bdr>
          <w:top w:val="single" w:color="auto" w:sz="6" w:space="1"/>
          <w:bottom w:val="single" w:color="auto" w:sz="6" w:space="1"/>
        </w:pBdr>
        <w:spacing w:line="500" w:lineRule="exact"/>
        <w:ind w:firstLine="140" w:firstLineChars="50"/>
        <w:rPr>
          <w:rFonts w:hint="default" w:ascii="Times New Roman" w:hAnsi="Times New Roman" w:eastAsia="方正仿宋_GBK" w:cs="Times New Roman"/>
          <w:color w:val="000000"/>
          <w:sz w:val="32"/>
          <w:szCs w:val="32"/>
          <w:lang w:val="en-US" w:eastAsia="zh-CN"/>
        </w:rPr>
      </w:pPr>
      <w:r>
        <w:rPr>
          <w:rFonts w:hint="eastAsia" w:ascii="方正仿宋_GBK" w:hAnsi="新宋体" w:eastAsia="方正仿宋_GBK"/>
          <w:color w:val="auto"/>
          <w:spacing w:val="0"/>
          <w:sz w:val="28"/>
          <w:szCs w:val="28"/>
        </w:rPr>
        <w:t>重庆市开州区</w:t>
      </w:r>
      <w:r>
        <w:rPr>
          <w:rFonts w:hint="eastAsia" w:ascii="方正仿宋_GBK" w:hAnsi="新宋体" w:eastAsia="方正仿宋_GBK"/>
          <w:color w:val="auto"/>
          <w:spacing w:val="0"/>
          <w:sz w:val="28"/>
          <w:szCs w:val="28"/>
          <w:lang w:eastAsia="zh-CN"/>
        </w:rPr>
        <w:t>行政体制改革研究中心</w:t>
      </w:r>
      <w:r>
        <w:rPr>
          <w:rFonts w:hint="eastAsia" w:ascii="方正仿宋_GBK" w:hAnsi="新宋体" w:eastAsia="方正仿宋_GBK"/>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20</w:t>
      </w:r>
      <w:r>
        <w:rPr>
          <w:rFonts w:hint="default" w:ascii="Times New Roman" w:hAnsi="Times New Roman" w:eastAsia="方正仿宋_GBK" w:cs="Times New Roman"/>
          <w:color w:val="auto"/>
          <w:spacing w:val="0"/>
          <w:sz w:val="28"/>
          <w:szCs w:val="28"/>
          <w:lang w:val="en-US" w:eastAsia="zh-CN"/>
        </w:rPr>
        <w:t>2</w:t>
      </w:r>
      <w:r>
        <w:rPr>
          <w:rFonts w:hint="eastAsia" w:ascii="Times New Roman" w:hAnsi="Times New Roman" w:eastAsia="方正仿宋_GBK" w:cs="Times New Roman"/>
          <w:color w:val="auto"/>
          <w:spacing w:val="0"/>
          <w:sz w:val="28"/>
          <w:szCs w:val="28"/>
          <w:lang w:val="en-US" w:eastAsia="zh-CN"/>
        </w:rPr>
        <w:t>4</w:t>
      </w:r>
      <w:r>
        <w:rPr>
          <w:rFonts w:hint="default" w:ascii="Times New Roman" w:hAnsi="Times New Roman" w:eastAsia="方正仿宋_GBK" w:cs="Times New Roman"/>
          <w:color w:val="auto"/>
          <w:spacing w:val="0"/>
          <w:sz w:val="28"/>
          <w:szCs w:val="28"/>
        </w:rPr>
        <w:t>年</w:t>
      </w:r>
      <w:r>
        <w:rPr>
          <w:rFonts w:hint="eastAsia" w:eastAsia="方正仿宋_GBK" w:cs="Times New Roman"/>
          <w:color w:val="auto"/>
          <w:spacing w:val="0"/>
          <w:sz w:val="28"/>
          <w:szCs w:val="28"/>
          <w:lang w:val="en-US" w:eastAsia="zh-CN"/>
        </w:rPr>
        <w:t>3</w:t>
      </w:r>
      <w:r>
        <w:rPr>
          <w:rFonts w:hint="default" w:ascii="Times New Roman" w:hAnsi="Times New Roman" w:eastAsia="方正仿宋_GBK" w:cs="Times New Roman"/>
          <w:color w:val="auto"/>
          <w:spacing w:val="0"/>
          <w:sz w:val="28"/>
          <w:szCs w:val="28"/>
        </w:rPr>
        <w:t>月</w:t>
      </w:r>
      <w:r>
        <w:rPr>
          <w:rFonts w:hint="eastAsia" w:eastAsia="方正仿宋_GBK" w:cs="Times New Roman"/>
          <w:color w:val="auto"/>
          <w:spacing w:val="0"/>
          <w:sz w:val="28"/>
          <w:szCs w:val="28"/>
          <w:lang w:val="en-US" w:eastAsia="zh-CN"/>
        </w:rPr>
        <w:t>21</w:t>
      </w:r>
      <w:r>
        <w:rPr>
          <w:rFonts w:hint="default" w:ascii="Times New Roman" w:hAnsi="Times New Roman" w:eastAsia="方正仿宋_GBK" w:cs="Times New Roman"/>
          <w:color w:val="auto"/>
          <w:spacing w:val="0"/>
          <w:sz w:val="28"/>
          <w:szCs w:val="28"/>
        </w:rPr>
        <w:t>日印</w:t>
      </w:r>
    </w:p>
    <w:sectPr>
      <w:footerReference r:id="rId3" w:type="default"/>
      <w:pgSz w:w="11906" w:h="16838"/>
      <w:pgMar w:top="1531" w:right="1531" w:bottom="1531" w:left="1531" w:header="851" w:footer="147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11.6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kYmMxNzA0YTRkY2Q2ZTM3ZjgyM2QwYjRmMWVlZmIifQ=="/>
  </w:docVars>
  <w:rsids>
    <w:rsidRoot w:val="00D5202E"/>
    <w:rsid w:val="000C619B"/>
    <w:rsid w:val="001E1A3B"/>
    <w:rsid w:val="001F5013"/>
    <w:rsid w:val="002437FF"/>
    <w:rsid w:val="00493336"/>
    <w:rsid w:val="005624B4"/>
    <w:rsid w:val="0071432C"/>
    <w:rsid w:val="00737497"/>
    <w:rsid w:val="007926DE"/>
    <w:rsid w:val="007B2AB9"/>
    <w:rsid w:val="00995F43"/>
    <w:rsid w:val="00A03F1C"/>
    <w:rsid w:val="00B07808"/>
    <w:rsid w:val="00CF5FBE"/>
    <w:rsid w:val="00D5202E"/>
    <w:rsid w:val="00F313FB"/>
    <w:rsid w:val="00F34CB7"/>
    <w:rsid w:val="00F5425A"/>
    <w:rsid w:val="00FE17CB"/>
    <w:rsid w:val="23507EB6"/>
    <w:rsid w:val="3FB759C4"/>
    <w:rsid w:val="4D551601"/>
    <w:rsid w:val="605615E9"/>
    <w:rsid w:val="646C334E"/>
    <w:rsid w:val="75BF9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3">
    <w:name w:val="Body Text Indent"/>
    <w:basedOn w:val="1"/>
    <w:link w:val="13"/>
    <w:qFormat/>
    <w:uiPriority w:val="0"/>
    <w:pPr>
      <w:ind w:firstLine="640" w:firstLineChars="200"/>
    </w:pPr>
    <w:rPr>
      <w:rFonts w:ascii="仿宋_GB2312" w:eastAsia="仿宋_GB2312"/>
      <w:sz w:val="32"/>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3"/>
    <w:qFormat/>
    <w:uiPriority w:val="0"/>
    <w:rPr>
      <w:rFonts w:ascii="仿宋_GB2312" w:hAnsi="Times New Roman" w:eastAsia="仿宋_GB2312" w:cs="Times New Roman"/>
      <w:sz w:val="32"/>
      <w:szCs w:val="24"/>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260</Words>
  <Characters>1483</Characters>
  <Lines>12</Lines>
  <Paragraphs>3</Paragraphs>
  <TotalTime>3</TotalTime>
  <ScaleCrop>false</ScaleCrop>
  <LinksUpToDate>false</LinksUpToDate>
  <CharactersWithSpaces>1740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2024-03-08T09:34:00Z</dcterms:created>
  <dc:creator>区委编办</dc:creator>
  <cp:lastModifiedBy>何诗玥</cp:lastModifiedBy>
  <dcterms:modified xsi:type="dcterms:W3CDTF">2024-03-22T06:35:23Z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E96367435B364692A06A07D2181855A0_12</vt:lpwstr>
  </property>
</Properties>
</file>