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rPr>
          <w:rFonts w:eastAsia="方正仿宋_GBK"/>
          <w:sz w:val="32"/>
          <w:szCs w:val="32"/>
        </w:rPr>
      </w:pPr>
      <w:bookmarkStart w:id="0" w:name="_GoBack"/>
      <w:bookmarkEnd w:id="0"/>
    </w:p>
    <w:p>
      <w:pPr>
        <w:jc w:val="center"/>
        <w:rPr>
          <w:rFonts w:eastAsia="黑体"/>
          <w:sz w:val="36"/>
        </w:rPr>
      </w:pPr>
    </w:p>
    <w:p>
      <w:pPr>
        <w:spacing w:line="400" w:lineRule="exact"/>
        <w:jc w:val="center"/>
        <w:rPr>
          <w:rFonts w:eastAsia="黑体"/>
          <w:sz w:val="36"/>
        </w:rPr>
      </w:pPr>
    </w:p>
    <w:p>
      <w:pPr>
        <w:spacing w:line="400" w:lineRule="exact"/>
        <w:jc w:val="center"/>
        <w:rPr>
          <w:rFonts w:eastAsia="黑体"/>
          <w:sz w:val="36"/>
        </w:rPr>
      </w:pPr>
    </w:p>
    <w:p>
      <w:pPr>
        <w:jc w:val="distribute"/>
        <w:rPr>
          <w:rFonts w:eastAsia="方正小标宋简体"/>
          <w:spacing w:val="-170"/>
          <w:w w:val="66"/>
        </w:rPr>
      </w:pPr>
      <w:r>
        <w:rPr>
          <w:rFonts w:eastAsia="方正小标宋简体"/>
          <w:color w:val="FF0000"/>
          <w:spacing w:val="-170"/>
          <w:w w:val="66"/>
          <w:sz w:val="114"/>
          <w:szCs w:val="138"/>
        </w:rPr>
        <w:t>重庆市开州区</w:t>
      </w:r>
      <w:r>
        <w:rPr>
          <w:rFonts w:hint="eastAsia" w:eastAsia="方正小标宋简体"/>
          <w:color w:val="FF0000"/>
          <w:spacing w:val="-170"/>
          <w:w w:val="66"/>
          <w:sz w:val="114"/>
          <w:szCs w:val="138"/>
        </w:rPr>
        <w:t>信访办公室</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信办文</w:t>
      </w:r>
      <w:r>
        <w:rPr>
          <w:rFonts w:eastAsia="方正仿宋_GBK"/>
          <w:color w:val="000000"/>
          <w:sz w:val="32"/>
          <w:szCs w:val="32"/>
        </w:rPr>
        <w:t>〔2024〕</w:t>
      </w:r>
      <w:r>
        <w:rPr>
          <w:rFonts w:hint="eastAsia" w:eastAsia="方正仿宋_GBK"/>
          <w:color w:val="000000"/>
          <w:sz w:val="32"/>
          <w:szCs w:val="32"/>
        </w:rPr>
        <w:t>21</w:t>
      </w:r>
      <w:r>
        <w:rPr>
          <w:rFonts w:eastAsia="方正仿宋_GBK"/>
          <w:sz w:val="32"/>
        </w:rPr>
        <w:t>号               签发人：</w:t>
      </w:r>
      <w:r>
        <w:rPr>
          <w:rFonts w:hint="eastAsia" w:ascii="方正楷体_GBK" w:hAnsi="方正楷体_GBK" w:eastAsia="方正楷体_GBK" w:cs="方正楷体_GBK"/>
          <w:sz w:val="32"/>
        </w:rPr>
        <w:t>盛兴龙</w:t>
      </w:r>
    </w:p>
    <w:p>
      <w:pPr>
        <w:spacing w:line="300" w:lineRule="exact"/>
        <w:rPr>
          <w:rFonts w:eastAsia="方正小标宋简体"/>
          <w:sz w:val="42"/>
          <w:szCs w:val="44"/>
          <w:u w:val="thick" w:color="FF0000"/>
        </w:rPr>
      </w:pPr>
    </w:p>
    <w:p>
      <w:pPr>
        <w:spacing w:line="600" w:lineRule="exact"/>
        <w:jc w:val="center"/>
        <w:rPr>
          <w:rFonts w:eastAsia="方正小标宋简体"/>
          <w:sz w:val="44"/>
          <w:szCs w:val="44"/>
        </w:rPr>
      </w:pPr>
    </w:p>
    <w:p/>
    <w:p>
      <w:pPr>
        <w:pStyle w:val="2"/>
        <w:spacing w:line="570" w:lineRule="exact"/>
        <w:ind w:firstLine="0" w:firstLineChars="0"/>
        <w:jc w:val="center"/>
        <w:rPr>
          <w:rFonts w:hint="eastAsia" w:ascii="Times New Roman" w:eastAsia="方正小标宋_GBK"/>
          <w:color w:val="000000"/>
          <w:sz w:val="44"/>
          <w:szCs w:val="44"/>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信访办公室</w:t>
      </w:r>
    </w:p>
    <w:p>
      <w:pPr>
        <w:pStyle w:val="2"/>
        <w:spacing w:line="570" w:lineRule="exact"/>
        <w:ind w:firstLine="0" w:firstLineChars="0"/>
        <w:jc w:val="center"/>
        <w:rPr>
          <w:rFonts w:ascii="Times New Roman" w:eastAsia="方正小标宋_GBK"/>
          <w:color w:val="000000"/>
          <w:sz w:val="44"/>
          <w:szCs w:val="44"/>
        </w:rPr>
      </w:pPr>
      <w:r>
        <w:rPr>
          <w:rFonts w:hint="eastAsia" w:ascii="Times New Roman" w:eastAsia="方正小标宋_GBK"/>
          <w:color w:val="000000"/>
          <w:sz w:val="44"/>
          <w:szCs w:val="44"/>
        </w:rPr>
        <w:t>关于重庆市开州区信访稳定联合调度中心</w:t>
      </w:r>
    </w:p>
    <w:p>
      <w:pPr>
        <w:spacing w:line="570" w:lineRule="exact"/>
        <w:jc w:val="center"/>
        <w:rPr>
          <w:rFonts w:eastAsia="方正小标宋_GBK"/>
          <w:sz w:val="44"/>
          <w:szCs w:val="44"/>
        </w:rPr>
      </w:pPr>
      <w:r>
        <w:rPr>
          <w:rFonts w:eastAsia="方正小标宋_GBK"/>
          <w:sz w:val="44"/>
          <w:szCs w:val="44"/>
        </w:rPr>
        <w:t>2024年部门预算情况公开的公告</w:t>
      </w:r>
    </w:p>
    <w:p>
      <w:pPr>
        <w:jc w:val="center"/>
        <w:rPr>
          <w:rFonts w:eastAsia="方正小标宋_GBK"/>
          <w:sz w:val="44"/>
          <w:szCs w:val="44"/>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w:t>
      </w:r>
      <w:r>
        <w:rPr>
          <w:rFonts w:hint="eastAsia" w:eastAsia="方正仿宋_GBK"/>
          <w:sz w:val="32"/>
          <w:szCs w:val="32"/>
        </w:rPr>
        <w:t>区信访办</w:t>
      </w:r>
      <w:r>
        <w:rPr>
          <w:rFonts w:eastAsia="方正仿宋_GBK"/>
          <w:sz w:val="32"/>
          <w:szCs w:val="32"/>
        </w:rPr>
        <w:t>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开州财行发</w:t>
      </w:r>
      <w:r>
        <w:rPr>
          <w:rFonts w:eastAsia="方正仿宋_GBK"/>
          <w:sz w:val="32"/>
          <w:szCs w:val="32"/>
        </w:rPr>
        <w:t>〔2024〕</w:t>
      </w:r>
      <w:r>
        <w:rPr>
          <w:rFonts w:hint="eastAsia" w:eastAsia="方正仿宋_GBK"/>
          <w:sz w:val="32"/>
          <w:szCs w:val="32"/>
        </w:rPr>
        <w:t>20</w:t>
      </w:r>
      <w:r>
        <w:rPr>
          <w:rFonts w:eastAsia="方正仿宋_GBK"/>
          <w:sz w:val="32"/>
          <w:szCs w:val="32"/>
        </w:rPr>
        <w:t>号）,现将</w:t>
      </w:r>
      <w:r>
        <w:rPr>
          <w:rFonts w:hint="eastAsia" w:eastAsia="方正仿宋_GBK"/>
          <w:sz w:val="32"/>
          <w:szCs w:val="32"/>
        </w:rPr>
        <w:t>重庆市开州区信访稳定联合调度中心</w:t>
      </w:r>
      <w:r>
        <w:rPr>
          <w:rFonts w:eastAsia="方正仿宋_GBK"/>
          <w:sz w:val="32"/>
          <w:szCs w:val="32"/>
        </w:rPr>
        <w:t>2024年部门预算批复情况公开如下：</w:t>
      </w:r>
    </w:p>
    <w:p>
      <w:pPr>
        <w:jc w:val="center"/>
        <w:rPr>
          <w:rFonts w:eastAsia="方正黑体_GBK"/>
          <w:sz w:val="32"/>
          <w:szCs w:val="32"/>
        </w:rPr>
      </w:pPr>
    </w:p>
    <w:p>
      <w:pPr>
        <w:jc w:val="center"/>
        <w:rPr>
          <w:rFonts w:eastAsia="方正黑体_GBK"/>
          <w:sz w:val="32"/>
          <w:szCs w:val="32"/>
        </w:rPr>
      </w:pPr>
    </w:p>
    <w:p>
      <w:pPr>
        <w:jc w:val="center"/>
        <w:rPr>
          <w:rFonts w:eastAsia="方正黑体_GBK"/>
          <w:sz w:val="32"/>
          <w:szCs w:val="32"/>
        </w:rPr>
      </w:pPr>
    </w:p>
    <w:p>
      <w:pPr>
        <w:jc w:val="center"/>
        <w:rPr>
          <w:rFonts w:ascii="方正小标宋_GBK" w:eastAsia="方正小标宋_GBK"/>
          <w:sz w:val="44"/>
          <w:szCs w:val="44"/>
        </w:rPr>
      </w:pPr>
      <w:r>
        <w:rPr>
          <w:rFonts w:hint="eastAsia" w:ascii="方正小标宋_GBK"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w:t>
      </w: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rPr>
        <w:t>重庆市开州区信访稳定联合调度中心收支预算总表</w:t>
      </w:r>
    </w:p>
    <w:p>
      <w:pPr>
        <w:rPr>
          <w:rFonts w:eastAsia="方正仿宋_GBK"/>
          <w:sz w:val="32"/>
          <w:szCs w:val="32"/>
        </w:rPr>
      </w:pPr>
      <w:r>
        <w:rPr>
          <w:rFonts w:eastAsia="方正仿宋_GBK"/>
          <w:sz w:val="32"/>
          <w:szCs w:val="32"/>
        </w:rPr>
        <w:t>表2、</w:t>
      </w:r>
      <w:r>
        <w:rPr>
          <w:rFonts w:hint="eastAsia" w:eastAsia="方正仿宋_GBK"/>
          <w:sz w:val="32"/>
          <w:szCs w:val="32"/>
        </w:rPr>
        <w:t>重庆市开州区信访稳定联合调度中心</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rPr>
        <w:t>重庆市开州区信访稳定联合调度中心本年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rPr>
        <w:t>重庆市开州区信访稳定联合调度中心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rPr>
        <w:t>重庆市开州区信访稳定联合调度中心本年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rPr>
        <w:t>重庆市开州区信访稳定联合调度中心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rPr>
        <w:t>重庆市开州区信访稳定联合调度中心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rPr>
        <w:t>重庆市开州区信访稳定联合调度中心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rPr>
        <w:t>重庆市开州区信访稳定联合调度中心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rPr>
        <w:t>重庆市开州区信访稳定联合调度中心</w:t>
      </w:r>
      <w:r>
        <w:rPr>
          <w:rFonts w:eastAsia="方正仿宋_GBK"/>
          <w:sz w:val="32"/>
          <w:szCs w:val="32"/>
        </w:rPr>
        <w:t>项目支出表</w:t>
      </w:r>
    </w:p>
    <w:p>
      <w:pPr>
        <w:rPr>
          <w:rFonts w:eastAsia="方正仿宋_GBK"/>
          <w:sz w:val="32"/>
          <w:szCs w:val="32"/>
        </w:rPr>
      </w:pPr>
      <w:r>
        <w:rPr>
          <w:rFonts w:eastAsia="方正仿宋_GBK"/>
          <w:sz w:val="32"/>
          <w:szCs w:val="32"/>
        </w:rPr>
        <w:t>表11、</w:t>
      </w:r>
      <w:r>
        <w:rPr>
          <w:rFonts w:hint="eastAsia" w:eastAsia="方正仿宋_GBK"/>
          <w:sz w:val="32"/>
          <w:szCs w:val="32"/>
        </w:rPr>
        <w:t>重庆市开州区信访稳定联合调度中心</w:t>
      </w:r>
      <w:r>
        <w:rPr>
          <w:rFonts w:eastAsia="方正仿宋_GBK"/>
          <w:sz w:val="32"/>
          <w:szCs w:val="32"/>
        </w:rPr>
        <w:t>项目绩效目标表</w:t>
      </w:r>
    </w:p>
    <w:p>
      <w:pPr>
        <w:rPr>
          <w:rFonts w:eastAsia="方正仿宋_GBK"/>
          <w:sz w:val="32"/>
          <w:szCs w:val="32"/>
        </w:rPr>
      </w:pPr>
      <w:r>
        <w:rPr>
          <w:rFonts w:eastAsia="方正仿宋_GBK"/>
          <w:sz w:val="32"/>
          <w:szCs w:val="32"/>
        </w:rPr>
        <w:t>表12、</w:t>
      </w:r>
      <w:r>
        <w:rPr>
          <w:rFonts w:hint="eastAsia" w:eastAsia="方正仿宋_GBK"/>
          <w:sz w:val="32"/>
          <w:szCs w:val="32"/>
        </w:rPr>
        <w:t>重庆市开州区信访稳定联合调度中心</w:t>
      </w:r>
      <w:r>
        <w:rPr>
          <w:rFonts w:eastAsia="方正仿宋_GBK"/>
          <w:sz w:val="32"/>
          <w:szCs w:val="32"/>
        </w:rPr>
        <w:t>部门整体</w:t>
      </w:r>
      <w:r>
        <w:rPr>
          <w:rFonts w:hint="eastAsia" w:eastAsia="方正仿宋_GBK"/>
          <w:sz w:val="32"/>
          <w:szCs w:val="32"/>
        </w:rPr>
        <w:t>支出</w:t>
      </w:r>
      <w:r>
        <w:rPr>
          <w:rFonts w:eastAsia="方正仿宋_GBK"/>
          <w:sz w:val="32"/>
          <w:szCs w:val="32"/>
        </w:rPr>
        <w:t>绩效目标表</w:t>
      </w:r>
    </w:p>
    <w:p/>
    <w:p/>
    <w:p>
      <w:pPr>
        <w:spacing w:line="600"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pStyle w:val="8"/>
        <w:tabs>
          <w:tab w:val="center" w:pos="4153"/>
          <w:tab w:val="left" w:pos="7275"/>
        </w:tabs>
        <w:spacing w:line="600" w:lineRule="exact"/>
        <w:ind w:firstLine="640"/>
        <w:jc w:val="left"/>
        <w:rPr>
          <w:rFonts w:ascii="Times New Roman" w:hAnsi="Times New Roman" w:eastAsia="方正仿宋_GBK"/>
          <w:sz w:val="32"/>
        </w:rPr>
      </w:pPr>
      <w:r>
        <w:rPr>
          <w:rFonts w:hint="eastAsia" w:ascii="Times New Roman" w:hAnsi="Times New Roman" w:eastAsia="方正仿宋_GBK"/>
          <w:sz w:val="32"/>
        </w:rPr>
        <w:t>重庆市开州区信访稳定联合调度中心负责为群众工作提供联络和信息服务。接待群众来访；受理、转送、交办信访人提出的信访事项；群众工作信息和有关数据的收集、统计、分析和反馈；信访电子网络的规划、减少、管理和安全保障，组织开展业务培训。</w:t>
      </w:r>
    </w:p>
    <w:p>
      <w:pPr>
        <w:pStyle w:val="8"/>
        <w:tabs>
          <w:tab w:val="center" w:pos="4153"/>
          <w:tab w:val="left" w:pos="7275"/>
        </w:tabs>
        <w:spacing w:line="600" w:lineRule="exact"/>
        <w:ind w:left="640" w:firstLine="0" w:firstLineChars="0"/>
        <w:jc w:val="left"/>
        <w:rPr>
          <w:rFonts w:ascii="方正楷体_GBK" w:hAnsi="Times New Roman" w:eastAsia="方正楷体_GBK"/>
          <w:sz w:val="32"/>
        </w:rPr>
      </w:pPr>
      <w:r>
        <w:rPr>
          <w:rFonts w:hint="eastAsia" w:ascii="方正楷体_GBK" w:hAnsi="Times New Roman" w:eastAsia="方正楷体_GBK"/>
          <w:sz w:val="32"/>
        </w:rPr>
        <w:t>（二）单位构成</w:t>
      </w:r>
    </w:p>
    <w:p>
      <w:pPr>
        <w:pStyle w:val="8"/>
        <w:tabs>
          <w:tab w:val="center" w:pos="4153"/>
          <w:tab w:val="left" w:pos="7275"/>
        </w:tabs>
        <w:spacing w:line="600" w:lineRule="exact"/>
        <w:ind w:firstLine="640"/>
        <w:jc w:val="left"/>
        <w:rPr>
          <w:rFonts w:eastAsia="方正仿宋_GBK"/>
          <w:sz w:val="32"/>
        </w:rPr>
      </w:pPr>
      <w:r>
        <w:rPr>
          <w:rFonts w:hint="eastAsia" w:ascii="Times New Roman" w:hAnsi="Times New Roman" w:eastAsia="方正仿宋_GBK"/>
          <w:sz w:val="32"/>
        </w:rPr>
        <w:t>重庆市开州区信访稳定联合调度中心无</w:t>
      </w:r>
      <w:r>
        <w:rPr>
          <w:rFonts w:ascii="Times New Roman" w:hAnsi="Times New Roman" w:eastAsia="方正仿宋_GBK"/>
          <w:sz w:val="32"/>
        </w:rPr>
        <w:t>内设</w:t>
      </w:r>
      <w:r>
        <w:rPr>
          <w:rFonts w:hint="eastAsia" w:ascii="Times New Roman" w:hAnsi="Times New Roman" w:eastAsia="方正仿宋_GBK"/>
          <w:sz w:val="32"/>
        </w:rPr>
        <w:t>职能科室。</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rPr>
        <w:t>275.16</w:t>
      </w:r>
      <w:r>
        <w:rPr>
          <w:rFonts w:eastAsia="方正仿宋_GBK"/>
          <w:sz w:val="32"/>
        </w:rPr>
        <w:t>万元，其中：一般公共预算拨款</w:t>
      </w:r>
      <w:r>
        <w:rPr>
          <w:rFonts w:hint="eastAsia" w:eastAsia="方正仿宋_GBK"/>
          <w:sz w:val="32"/>
        </w:rPr>
        <w:t>275.16</w:t>
      </w:r>
      <w:r>
        <w:rPr>
          <w:rFonts w:eastAsia="方正仿宋_GBK"/>
          <w:sz w:val="32"/>
        </w:rPr>
        <w:t>万元，政府性基金预算拨款</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万元。收入较2023年</w:t>
      </w:r>
      <w:r>
        <w:rPr>
          <w:rFonts w:hint="eastAsia" w:eastAsia="方正仿宋_GBK"/>
          <w:sz w:val="32"/>
        </w:rPr>
        <w:t>无法比较</w:t>
      </w:r>
      <w:r>
        <w:rPr>
          <w:rFonts w:eastAsia="方正仿宋_GBK"/>
          <w:sz w:val="32"/>
        </w:rPr>
        <w:t>，主要</w:t>
      </w:r>
      <w:r>
        <w:rPr>
          <w:rFonts w:hint="eastAsia" w:eastAsia="方正仿宋_GBK"/>
          <w:sz w:val="32"/>
        </w:rPr>
        <w:t>原因</w:t>
      </w:r>
      <w:r>
        <w:rPr>
          <w:rFonts w:eastAsia="方正仿宋_GBK"/>
          <w:sz w:val="32"/>
        </w:rPr>
        <w:t>是</w:t>
      </w:r>
      <w:r>
        <w:rPr>
          <w:rFonts w:hint="eastAsia" w:eastAsia="方正仿宋_GBK"/>
          <w:sz w:val="32"/>
        </w:rPr>
        <w:t>按上级政策要求，预算单位要严格按照“三定”方案设置，我单位为2024年新设置预算单位，无法与上年同期数进行比较</w:t>
      </w:r>
      <w:r>
        <w:rPr>
          <w:rFonts w:eastAsia="方正仿宋_GBK"/>
          <w:sz w:val="32"/>
        </w:rPr>
        <w:t>。</w:t>
      </w:r>
    </w:p>
    <w:p>
      <w:pPr>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275.16</w:t>
      </w:r>
      <w:r>
        <w:rPr>
          <w:rFonts w:eastAsia="方正仿宋_GBK"/>
          <w:sz w:val="32"/>
        </w:rPr>
        <w:t>万元，其中：一般公共服务支出预算</w:t>
      </w:r>
      <w:r>
        <w:rPr>
          <w:rFonts w:hint="eastAsia" w:eastAsia="方正仿宋_GBK"/>
          <w:sz w:val="32"/>
        </w:rPr>
        <w:t>219.61</w:t>
      </w:r>
      <w:r>
        <w:rPr>
          <w:rFonts w:eastAsia="方正仿宋_GBK"/>
          <w:sz w:val="32"/>
        </w:rPr>
        <w:t>万元，教育支出预算</w:t>
      </w:r>
      <w:r>
        <w:rPr>
          <w:rFonts w:hint="eastAsia" w:eastAsia="方正仿宋_GBK"/>
          <w:sz w:val="32"/>
        </w:rPr>
        <w:t>0</w:t>
      </w:r>
      <w:r>
        <w:rPr>
          <w:rFonts w:eastAsia="方正仿宋_GBK"/>
          <w:sz w:val="32"/>
        </w:rPr>
        <w:t>万元，社会保障和就业支出预算</w:t>
      </w:r>
      <w:r>
        <w:rPr>
          <w:rFonts w:hint="eastAsia" w:eastAsia="方正仿宋_GBK"/>
          <w:sz w:val="32"/>
        </w:rPr>
        <w:t>27.85</w:t>
      </w:r>
      <w:r>
        <w:rPr>
          <w:rFonts w:eastAsia="方正仿宋_GBK"/>
          <w:sz w:val="32"/>
        </w:rPr>
        <w:t>万元，卫生健康支出预算</w:t>
      </w:r>
      <w:r>
        <w:rPr>
          <w:rFonts w:hint="eastAsia" w:eastAsia="方正仿宋_GBK"/>
          <w:sz w:val="32"/>
        </w:rPr>
        <w:t>13.77</w:t>
      </w:r>
      <w:r>
        <w:rPr>
          <w:rFonts w:eastAsia="方正仿宋_GBK"/>
          <w:sz w:val="32"/>
        </w:rPr>
        <w:t xml:space="preserve">万元，住房保障支出预算 </w:t>
      </w:r>
      <w:r>
        <w:rPr>
          <w:rFonts w:hint="eastAsia" w:eastAsia="方正仿宋_GBK"/>
          <w:sz w:val="32"/>
        </w:rPr>
        <w:t>13.93</w:t>
      </w:r>
      <w:r>
        <w:rPr>
          <w:rFonts w:eastAsia="方正仿宋_GBK"/>
          <w:sz w:val="32"/>
        </w:rPr>
        <w:t>万元。支出预算较</w:t>
      </w:r>
      <w:r>
        <w:rPr>
          <w:rFonts w:hint="eastAsia" w:eastAsia="方正仿宋_GBK"/>
          <w:sz w:val="32"/>
        </w:rPr>
        <w:t>202</w:t>
      </w:r>
      <w:r>
        <w:rPr>
          <w:rFonts w:eastAsia="方正仿宋_GBK"/>
          <w:sz w:val="32"/>
        </w:rPr>
        <w:t>3</w:t>
      </w:r>
      <w:r>
        <w:rPr>
          <w:rFonts w:hint="eastAsia" w:eastAsia="方正仿宋_GBK"/>
          <w:sz w:val="32"/>
        </w:rPr>
        <w:t>无法比较</w:t>
      </w:r>
      <w:r>
        <w:rPr>
          <w:rFonts w:eastAsia="方正仿宋_GBK"/>
          <w:sz w:val="32"/>
        </w:rPr>
        <w:t>，主要</w:t>
      </w:r>
      <w:r>
        <w:rPr>
          <w:rFonts w:hint="eastAsia" w:eastAsia="方正仿宋_GBK"/>
          <w:sz w:val="32"/>
        </w:rPr>
        <w:t>原因</w:t>
      </w:r>
      <w:r>
        <w:rPr>
          <w:rFonts w:eastAsia="方正仿宋_GBK"/>
          <w:sz w:val="32"/>
        </w:rPr>
        <w:t>是</w:t>
      </w:r>
      <w:r>
        <w:rPr>
          <w:rFonts w:hint="eastAsia" w:eastAsia="方正仿宋_GBK"/>
          <w:sz w:val="32"/>
        </w:rPr>
        <w:t>按上级政策要求，预算单位要严格按照“三定”方案设置，我单位为2024年新设置预算单位，无法与上年同期数进行比较</w:t>
      </w:r>
      <w:r>
        <w:rPr>
          <w:rFonts w:eastAsia="方正仿宋_GBK"/>
          <w:sz w:val="32"/>
        </w:rPr>
        <w:t>。</w:t>
      </w:r>
    </w:p>
    <w:p>
      <w:pPr>
        <w:spacing w:line="600" w:lineRule="exact"/>
        <w:ind w:firstLine="640" w:firstLineChars="20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275.16</w:t>
      </w:r>
      <w:r>
        <w:rPr>
          <w:rFonts w:eastAsia="方正仿宋_GBK"/>
          <w:sz w:val="32"/>
        </w:rPr>
        <w:t>万元，一般公共预算财政拨款支出</w:t>
      </w:r>
      <w:r>
        <w:rPr>
          <w:rFonts w:hint="eastAsia" w:eastAsia="方正仿宋_GBK"/>
          <w:sz w:val="32"/>
        </w:rPr>
        <w:t>275.16</w:t>
      </w:r>
      <w:r>
        <w:rPr>
          <w:rFonts w:eastAsia="方正仿宋_GBK"/>
          <w:sz w:val="32"/>
        </w:rPr>
        <w:t>万元，</w:t>
      </w:r>
      <w:r>
        <w:rPr>
          <w:rFonts w:hint="eastAsia" w:eastAsia="方正仿宋_GBK"/>
          <w:sz w:val="32"/>
        </w:rPr>
        <w:t>与</w:t>
      </w:r>
      <w:r>
        <w:rPr>
          <w:rFonts w:eastAsia="方正仿宋_GBK"/>
          <w:sz w:val="32"/>
        </w:rPr>
        <w:t>2023</w:t>
      </w:r>
      <w:r>
        <w:rPr>
          <w:rFonts w:hint="eastAsia" w:eastAsia="方正仿宋_GBK"/>
          <w:sz w:val="32"/>
        </w:rPr>
        <w:t>无法比较，主</w:t>
      </w:r>
      <w:r>
        <w:rPr>
          <w:rFonts w:eastAsia="方正仿宋_GBK"/>
          <w:sz w:val="32"/>
        </w:rPr>
        <w:t>要原因是</w:t>
      </w:r>
      <w:r>
        <w:rPr>
          <w:rFonts w:hint="eastAsia" w:eastAsia="方正仿宋_GBK"/>
          <w:sz w:val="32"/>
        </w:rPr>
        <w:t>按上级政策要求，预算单位要严格按照“三定”方案设置，我单位为2024年新设置预算单位，无法与上年同期数进行比较</w:t>
      </w:r>
      <w:r>
        <w:rPr>
          <w:rFonts w:eastAsia="方正仿宋_GBK"/>
          <w:sz w:val="32"/>
        </w:rPr>
        <w:t>。其中：基本支出</w:t>
      </w:r>
      <w:r>
        <w:rPr>
          <w:rFonts w:hint="eastAsia" w:eastAsia="方正仿宋_GBK"/>
          <w:sz w:val="32"/>
        </w:rPr>
        <w:t>275.16</w:t>
      </w:r>
      <w:r>
        <w:rPr>
          <w:rFonts w:eastAsia="方正仿宋_GBK"/>
          <w:sz w:val="32"/>
        </w:rPr>
        <w:t>万元，主要用于保障</w:t>
      </w:r>
      <w:r>
        <w:rPr>
          <w:rFonts w:hint="eastAsia" w:eastAsia="方正仿宋_GBK"/>
          <w:sz w:val="32"/>
        </w:rPr>
        <w:t>事业</w:t>
      </w:r>
      <w:r>
        <w:rPr>
          <w:rFonts w:eastAsia="方正仿宋_GBK"/>
          <w:sz w:val="32"/>
        </w:rPr>
        <w:t>在职人员工资福利及社会保险缴费等，保障</w:t>
      </w:r>
      <w:r>
        <w:rPr>
          <w:rFonts w:hint="eastAsia" w:eastAsia="方正仿宋_GBK"/>
          <w:sz w:val="32"/>
        </w:rPr>
        <w:t>单位</w:t>
      </w:r>
      <w:r>
        <w:rPr>
          <w:rFonts w:eastAsia="方正仿宋_GBK"/>
          <w:sz w:val="32"/>
        </w:rPr>
        <w:t>正常运转的各项商品服务支出；项目支出</w:t>
      </w:r>
      <w:r>
        <w:rPr>
          <w:rFonts w:hint="eastAsia" w:eastAsia="方正仿宋_GBK"/>
          <w:sz w:val="32"/>
        </w:rPr>
        <w:t>0</w:t>
      </w:r>
      <w:r>
        <w:rPr>
          <w:rFonts w:eastAsia="方正仿宋_GBK"/>
          <w:sz w:val="32"/>
        </w:rPr>
        <w:t>万元</w:t>
      </w:r>
      <w:r>
        <w:rPr>
          <w:rFonts w:hint="eastAsia" w:eastAsia="方正仿宋_GBK"/>
          <w:sz w:val="32"/>
        </w:rPr>
        <w:t>。</w:t>
      </w:r>
    </w:p>
    <w:p>
      <w:pPr>
        <w:spacing w:line="600" w:lineRule="exact"/>
        <w:ind w:firstLine="640" w:firstLineChars="200"/>
        <w:rPr>
          <w:rFonts w:eastAsia="方正仿宋_GBK"/>
          <w:sz w:val="32"/>
        </w:rPr>
      </w:pPr>
      <w:r>
        <w:rPr>
          <w:rFonts w:hint="eastAsia" w:eastAsia="方正仿宋_GBK"/>
          <w:sz w:val="32"/>
        </w:rPr>
        <w:t>重庆市开州区信访稳定联合调度中心</w:t>
      </w:r>
      <w:r>
        <w:rPr>
          <w:rFonts w:eastAsia="方正仿宋_GBK"/>
          <w:sz w:val="32"/>
        </w:rPr>
        <w:t>2024年无使用政府性基金预算拨款安排的支出</w:t>
      </w:r>
      <w:r>
        <w:rPr>
          <w:rFonts w:hint="eastAsia" w:ascii="方正仿宋_GBK" w:eastAsia="方正仿宋_GBK"/>
          <w:sz w:val="32"/>
        </w:rPr>
        <w:t>。</w:t>
      </w:r>
    </w:p>
    <w:p>
      <w:pPr>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00"/>
        <w:rPr>
          <w:rFonts w:eastAsia="方正仿宋_GBK"/>
          <w:sz w:val="32"/>
        </w:rPr>
      </w:pPr>
      <w:r>
        <w:rPr>
          <w:rFonts w:eastAsia="方正仿宋_GBK"/>
          <w:sz w:val="32"/>
        </w:rPr>
        <w:t>2024年</w:t>
      </w:r>
      <w:r>
        <w:rPr>
          <w:rFonts w:hint="eastAsia" w:ascii="方正仿宋_GBK" w:eastAsia="方正仿宋_GBK"/>
          <w:sz w:val="32"/>
        </w:rPr>
        <w:t>“三公”经</w:t>
      </w:r>
      <w:r>
        <w:rPr>
          <w:rFonts w:eastAsia="方正仿宋_GBK"/>
          <w:sz w:val="32"/>
        </w:rPr>
        <w:t>费预算</w:t>
      </w:r>
      <w:r>
        <w:rPr>
          <w:rFonts w:hint="eastAsia" w:eastAsia="方正仿宋_GBK"/>
          <w:sz w:val="32"/>
        </w:rPr>
        <w:t>0</w:t>
      </w:r>
      <w:r>
        <w:rPr>
          <w:rFonts w:eastAsia="方正仿宋_GBK"/>
          <w:sz w:val="32"/>
        </w:rPr>
        <w:t>万元，</w:t>
      </w:r>
      <w:r>
        <w:rPr>
          <w:rFonts w:hint="eastAsia" w:eastAsia="方正仿宋_GBK"/>
          <w:sz w:val="32"/>
        </w:rPr>
        <w:t>与</w:t>
      </w:r>
      <w:r>
        <w:rPr>
          <w:rFonts w:eastAsia="方正仿宋_GBK"/>
          <w:sz w:val="32"/>
        </w:rPr>
        <w:t>2023</w:t>
      </w:r>
      <w:r>
        <w:rPr>
          <w:rFonts w:hint="eastAsia" w:eastAsia="方正仿宋_GBK"/>
          <w:sz w:val="32"/>
        </w:rPr>
        <w:t>无法比较,</w:t>
      </w:r>
      <w:r>
        <w:rPr>
          <w:rFonts w:eastAsia="方正仿宋_GBK"/>
          <w:sz w:val="32"/>
        </w:rPr>
        <w:t xml:space="preserve"> 主要原因是</w:t>
      </w:r>
      <w:r>
        <w:rPr>
          <w:rFonts w:hint="eastAsia" w:eastAsia="方正仿宋_GBK"/>
          <w:sz w:val="32"/>
        </w:rPr>
        <w:t>按上级政策要求，预算单位要严格按照“三定”方案设置，我单位为2024年新设置预算单位，无法与上年同期数进行比较</w:t>
      </w:r>
      <w:r>
        <w:rPr>
          <w:rFonts w:eastAsia="方正仿宋_GBK"/>
          <w:sz w:val="32"/>
        </w:rPr>
        <w:t>。其中：因公出国（境）费用</w:t>
      </w:r>
      <w:r>
        <w:rPr>
          <w:rFonts w:hint="eastAsia" w:eastAsia="方正仿宋_GBK"/>
          <w:sz w:val="32"/>
        </w:rPr>
        <w:t>0</w:t>
      </w:r>
      <w:r>
        <w:rPr>
          <w:rFonts w:eastAsia="方正仿宋_GBK"/>
          <w:sz w:val="32"/>
        </w:rPr>
        <w:t>万元；公务接待费</w:t>
      </w:r>
      <w:r>
        <w:rPr>
          <w:rFonts w:hint="eastAsia" w:eastAsia="方正仿宋_GBK"/>
          <w:sz w:val="32"/>
        </w:rPr>
        <w:t>0</w:t>
      </w:r>
      <w:r>
        <w:rPr>
          <w:rFonts w:eastAsia="方正仿宋_GBK"/>
          <w:sz w:val="32"/>
        </w:rPr>
        <w:t>万元；公务用车运行维护费</w:t>
      </w:r>
      <w:r>
        <w:rPr>
          <w:rFonts w:hint="eastAsia" w:eastAsia="方正仿宋_GBK"/>
          <w:sz w:val="32"/>
        </w:rPr>
        <w:t>0</w:t>
      </w:r>
      <w:r>
        <w:rPr>
          <w:rFonts w:eastAsia="方正仿宋_GBK"/>
          <w:sz w:val="32"/>
        </w:rPr>
        <w:t>万元；公务用车购置费</w:t>
      </w:r>
      <w:r>
        <w:rPr>
          <w:rFonts w:hint="eastAsia" w:eastAsia="方正仿宋_GBK"/>
          <w:sz w:val="32"/>
        </w:rPr>
        <w:t>0</w:t>
      </w:r>
      <w:r>
        <w:rPr>
          <w:rFonts w:eastAsia="方正仿宋_GBK"/>
          <w:sz w:val="32"/>
        </w:rPr>
        <w:t>万元。</w:t>
      </w:r>
    </w:p>
    <w:p>
      <w:pPr>
        <w:spacing w:line="600" w:lineRule="exact"/>
        <w:ind w:left="640"/>
        <w:rPr>
          <w:rFonts w:eastAsia="方正黑体_GBK"/>
          <w:sz w:val="32"/>
        </w:rPr>
      </w:pPr>
      <w:r>
        <w:rPr>
          <w:rFonts w:eastAsia="方正黑体_GBK"/>
          <w:sz w:val="32"/>
        </w:rPr>
        <w:t>五、其他重要事项的情况说明</w:t>
      </w:r>
    </w:p>
    <w:p>
      <w:pPr>
        <w:ind w:firstLine="643" w:firstLineChars="200"/>
        <w:rPr>
          <w:rFonts w:eastAsia="方正仿宋_GBK"/>
          <w:sz w:val="32"/>
        </w:rPr>
      </w:pPr>
      <w:r>
        <w:rPr>
          <w:rFonts w:eastAsia="方正仿宋_GBK"/>
          <w:b/>
          <w:sz w:val="32"/>
        </w:rPr>
        <w:t>1、机关运行经费。</w:t>
      </w:r>
      <w:r>
        <w:rPr>
          <w:rFonts w:eastAsia="方正仿宋_GBK"/>
          <w:sz w:val="32"/>
        </w:rPr>
        <w:t>我单位不在机关运行经费统计范围之内。</w:t>
      </w:r>
    </w:p>
    <w:p>
      <w:pPr>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 xml:space="preserve"> 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 xml:space="preserve">万元、政府采购工程预算 </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w:t>
      </w:r>
    </w:p>
    <w:p>
      <w:pPr>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0</w:t>
      </w:r>
      <w:r>
        <w:rPr>
          <w:rFonts w:eastAsia="方正仿宋_GBK"/>
          <w:color w:val="000000"/>
          <w:sz w:val="32"/>
        </w:rPr>
        <w:t>万元。</w:t>
      </w:r>
    </w:p>
    <w:p>
      <w:pPr>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辆。2024年一般公共预算安排购置车辆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pPr>
        <w:ind w:firstLine="640" w:firstLineChars="200"/>
        <w:rPr>
          <w:rFonts w:eastAsia="方正黑体_GBK"/>
          <w:sz w:val="32"/>
        </w:rPr>
      </w:pPr>
      <w:r>
        <w:rPr>
          <w:rFonts w:eastAsia="方正黑体_GBK"/>
          <w:sz w:val="32"/>
        </w:rPr>
        <w:t>六、专业性名词解释</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hint="eastAsia" w:eastAsia="方正小标宋_GBK"/>
          <w:sz w:val="44"/>
          <w:szCs w:val="44"/>
        </w:rPr>
        <w:t>第二部分：2024年部门预算公开报表</w:t>
      </w:r>
    </w:p>
    <w:p>
      <w:pPr>
        <w:ind w:firstLine="640" w:firstLineChars="200"/>
        <w:rPr>
          <w:rFonts w:eastAsia="方正黑体_GBK"/>
          <w:sz w:val="32"/>
        </w:rPr>
      </w:pPr>
    </w:p>
    <w:p>
      <w:pPr>
        <w:ind w:firstLine="640" w:firstLineChars="200"/>
        <w:rPr>
          <w:rFonts w:eastAsia="方正黑体_GBK"/>
          <w:sz w:val="32"/>
        </w:rPr>
      </w:pPr>
      <w:r>
        <w:rPr>
          <w:rFonts w:hint="eastAsia" w:eastAsia="方正黑体_GBK"/>
          <w:sz w:val="32"/>
        </w:rPr>
        <w:t>2024年部门预算公开报表（详见附表重庆市开州区信访稳定联合调度中心</w:t>
      </w:r>
      <w:r>
        <w:rPr>
          <w:rFonts w:eastAsia="方正黑体_GBK"/>
          <w:sz w:val="32"/>
        </w:rPr>
        <w:t>2024年部门预算公开报表</w:t>
      </w:r>
      <w:r>
        <w:rPr>
          <w:rFonts w:hint="eastAsia" w:eastAsia="方正黑体_GBK"/>
          <w:sz w:val="32"/>
        </w:rPr>
        <w:t>）</w:t>
      </w:r>
    </w:p>
    <w:p>
      <w:pPr>
        <w:rPr>
          <w:rFonts w:eastAsia="方正仿宋_GBK"/>
          <w:bCs/>
          <w:sz w:val="32"/>
        </w:rPr>
      </w:pPr>
      <w:r>
        <w:rPr>
          <w:rFonts w:eastAsia="方正仿宋_GBK"/>
          <w:bCs/>
          <w:sz w:val="32"/>
        </w:rPr>
        <w:t>部门预算公开联系人：</w:t>
      </w:r>
      <w:r>
        <w:rPr>
          <w:rFonts w:hint="eastAsia" w:eastAsia="方正仿宋_GBK"/>
          <w:bCs/>
          <w:sz w:val="32"/>
        </w:rPr>
        <w:t>彭星</w:t>
      </w:r>
      <w:r>
        <w:rPr>
          <w:rFonts w:eastAsia="方正仿宋_GBK"/>
          <w:bCs/>
          <w:sz w:val="32"/>
        </w:rPr>
        <w:t xml:space="preserve">  联系方式：023-</w:t>
      </w:r>
      <w:r>
        <w:rPr>
          <w:rFonts w:hint="eastAsia" w:eastAsia="方正仿宋_GBK"/>
          <w:bCs/>
          <w:sz w:val="32"/>
        </w:rPr>
        <w:t>52298358</w:t>
      </w:r>
    </w:p>
    <w:p>
      <w:pPr>
        <w:rPr>
          <w:rFonts w:eastAsia="方正仿宋_GBK"/>
          <w:b/>
          <w:sz w:val="32"/>
        </w:rPr>
      </w:pPr>
    </w:p>
    <w:p>
      <w:pPr>
        <w:rPr>
          <w:rFonts w:eastAsia="方正仿宋_GBK"/>
          <w:b/>
          <w:sz w:val="32"/>
        </w:rPr>
      </w:pPr>
    </w:p>
    <w:p>
      <w:pPr>
        <w:spacing w:line="570" w:lineRule="exact"/>
        <w:ind w:firstLine="4480" w:firstLineChars="1400"/>
        <w:rPr>
          <w:rFonts w:eastAsia="方正仿宋_GBK"/>
          <w:sz w:val="32"/>
          <w:szCs w:val="32"/>
        </w:rPr>
      </w:pPr>
      <w:r>
        <w:rPr>
          <w:rFonts w:eastAsia="方正仿宋_GBK"/>
          <w:sz w:val="32"/>
          <w:szCs w:val="32"/>
        </w:rPr>
        <w:t>重庆市开州区信访办公室</w:t>
      </w:r>
    </w:p>
    <w:p>
      <w:pPr>
        <w:spacing w:line="570" w:lineRule="exact"/>
        <w:ind w:firstLine="5440" w:firstLineChars="17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年3月21日</w:t>
      </w: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ind w:firstLine="5440" w:firstLineChars="1700"/>
        <w:rPr>
          <w:rFonts w:eastAsia="方正仿宋_GBK"/>
          <w:sz w:val="32"/>
          <w:szCs w:val="32"/>
        </w:rPr>
      </w:pPr>
    </w:p>
    <w:p>
      <w:pPr>
        <w:spacing w:line="570" w:lineRule="exact"/>
        <w:rPr>
          <w:rFonts w:eastAsia="方正仿宋_GBK"/>
          <w:sz w:val="32"/>
          <w:szCs w:val="32"/>
        </w:rPr>
      </w:pPr>
    </w:p>
    <w:p>
      <w:pPr>
        <w:pBdr>
          <w:top w:val="single" w:color="auto" w:sz="4" w:space="0"/>
          <w:bottom w:val="single" w:color="auto" w:sz="4" w:space="0"/>
        </w:pBdr>
        <w:spacing w:line="570" w:lineRule="exact"/>
        <w:ind w:firstLine="280" w:firstLineChars="100"/>
        <w:jc w:val="left"/>
        <w:rPr>
          <w:rFonts w:eastAsia="方正仿宋_GBK"/>
          <w:sz w:val="28"/>
          <w:szCs w:val="28"/>
        </w:rPr>
      </w:pPr>
      <w:r>
        <w:rPr>
          <w:rFonts w:hint="eastAsia" w:eastAsia="方正仿宋_GBK"/>
          <w:sz w:val="28"/>
          <w:szCs w:val="28"/>
        </w:rPr>
        <w:t>重庆市开州区信访办公室                    2024年3月21日印发</w:t>
      </w:r>
    </w:p>
    <w:p/>
    <w:sectPr>
      <w:footerReference r:id="rId3" w:type="default"/>
      <w:pgSz w:w="11906" w:h="16838"/>
      <w:pgMar w:top="1984" w:right="1502" w:bottom="1644" w:left="1389" w:header="907"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67EA"/>
    <w:rsid w:val="00080780"/>
    <w:rsid w:val="002D2F27"/>
    <w:rsid w:val="00532A45"/>
    <w:rsid w:val="006877F5"/>
    <w:rsid w:val="007367EA"/>
    <w:rsid w:val="007A07B4"/>
    <w:rsid w:val="00810D0B"/>
    <w:rsid w:val="00830FE7"/>
    <w:rsid w:val="009970B3"/>
    <w:rsid w:val="00A30582"/>
    <w:rsid w:val="00BD3518"/>
    <w:rsid w:val="00C61EE5"/>
    <w:rsid w:val="00FD4B6E"/>
    <w:rsid w:val="00FF2974"/>
    <w:rsid w:val="34464571"/>
    <w:rsid w:val="6FFF8E4F"/>
    <w:rsid w:val="7BD0337E"/>
    <w:rsid w:val="7F7D58EC"/>
    <w:rsid w:val="9D4B5CFF"/>
    <w:rsid w:val="BA7B23C6"/>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ind w:firstLine="640" w:firstLineChars="200"/>
    </w:pPr>
    <w:rPr>
      <w:rFonts w:ascii="仿宋_GB2312" w:eastAsia="仿宋_GB2312"/>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仿宋_GB2312" w:hAnsi="Times New Roman" w:eastAsia="仿宋_GB2312" w:cs="Times New Roman"/>
      <w:sz w:val="32"/>
      <w:szCs w:val="24"/>
    </w:rPr>
  </w:style>
  <w:style w:type="paragraph" w:customStyle="1" w:styleId="8">
    <w:name w:val="List Paragraph"/>
    <w:basedOn w:val="1"/>
    <w:qFormat/>
    <w:uiPriority w:val="34"/>
    <w:pPr>
      <w:ind w:firstLine="420" w:firstLineChars="200"/>
    </w:pPr>
    <w:rPr>
      <w:rFonts w:ascii="Calibri" w:hAnsi="Calibri"/>
      <w:szCs w:val="22"/>
    </w:rPr>
  </w:style>
  <w:style w:type="character" w:customStyle="1" w:styleId="9">
    <w:name w:val="页眉 Char"/>
    <w:basedOn w:val="5"/>
    <w:link w:val="4"/>
    <w:semiHidden/>
    <w:qFormat/>
    <w:uiPriority w:val="99"/>
    <w:rPr>
      <w:rFonts w:ascii="Times New Roman" w:hAnsi="Times New Roman" w:eastAsia="宋体" w:cs="Times New Roman"/>
      <w:sz w:val="18"/>
      <w:szCs w:val="18"/>
    </w:rPr>
  </w:style>
  <w:style w:type="character" w:customStyle="1" w:styleId="10">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387</Words>
  <Characters>2210</Characters>
  <Lines>18</Lines>
  <Paragraphs>5</Paragraphs>
  <TotalTime>0</TotalTime>
  <ScaleCrop>false</ScaleCrop>
  <LinksUpToDate>false</LinksUpToDate>
  <CharactersWithSpaces>2592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2024-03-06T15:48:00Z</dcterms:created>
  <dc:creator>彭星</dc:creator>
  <cp:lastModifiedBy>张雷</cp:lastModifiedBy>
  <dcterms:modified xsi:type="dcterms:W3CDTF">2024-03-31T07:48:40Z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