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方正黑体_GBK"/>
          <w:sz w:val="32"/>
          <w:szCs w:val="32"/>
        </w:rPr>
      </w:pPr>
      <w:bookmarkStart w:id="0" w:name="_GoBack"/>
      <w:bookmarkEnd w:id="0"/>
    </w:p>
    <w:p>
      <w:pPr>
        <w:jc w:val="distribute"/>
        <w:rPr>
          <w:rFonts w:eastAsia="方正小标宋简体"/>
          <w:w w:val="80"/>
          <w:sz w:val="84"/>
          <w:szCs w:val="84"/>
        </w:rPr>
      </w:pPr>
      <w:r>
        <w:rPr>
          <w:rFonts w:eastAsia="方正小标宋简体"/>
          <w:color w:val="FF0000"/>
          <w:w w:val="80"/>
          <w:sz w:val="84"/>
          <w:szCs w:val="84"/>
        </w:rPr>
        <w:t>重庆市开州区实验中学</w:t>
      </w:r>
    </w:p>
    <w:p>
      <w:pPr>
        <w:spacing w:line="400" w:lineRule="exact"/>
        <w:jc w:val="center"/>
        <w:rPr>
          <w:rFonts w:eastAsia="黑体"/>
          <w:sz w:val="36"/>
        </w:rPr>
      </w:pPr>
    </w:p>
    <w:p>
      <w:pPr>
        <w:spacing w:line="100" w:lineRule="exact"/>
        <w:jc w:val="center"/>
        <w:rPr>
          <w:rFonts w:eastAsia="黑体"/>
          <w:sz w:val="36"/>
        </w:rPr>
      </w:pPr>
    </w:p>
    <w:p>
      <w:pPr>
        <w:spacing w:line="600" w:lineRule="exact"/>
        <w:jc w:val="center"/>
        <w:rPr>
          <w:rFonts w:eastAsia="方正仿宋_GBK"/>
          <w:sz w:val="32"/>
          <w:szCs w:val="32"/>
        </w:rPr>
      </w:pPr>
      <w:r>
        <w:rPr>
          <w:rFonts w:eastAsia="方正仿宋_GBK"/>
          <w:sz w:val="32"/>
        </w:rPr>
        <w:t>开州实中发</w:t>
      </w:r>
      <w:r>
        <w:rPr>
          <w:rFonts w:eastAsia="方正仿宋_GBK"/>
          <w:color w:val="000000"/>
          <w:sz w:val="32"/>
          <w:szCs w:val="32"/>
        </w:rPr>
        <w:t>〔2024〕1</w:t>
      </w:r>
      <w:r>
        <w:rPr>
          <w:rFonts w:eastAsia="方正仿宋_GBK"/>
          <w:sz w:val="32"/>
        </w:rPr>
        <w:t>号        签发人：</w:t>
      </w:r>
      <w:r>
        <w:rPr>
          <w:rFonts w:eastAsia="方正楷体_GBK"/>
          <w:sz w:val="32"/>
        </w:rPr>
        <w:t>胡显清</w:t>
      </w:r>
    </w:p>
    <w:p>
      <w:pPr>
        <w:spacing w:line="300" w:lineRule="exact"/>
        <w:rPr>
          <w:rFonts w:eastAsia="方正小标宋简体"/>
          <w:sz w:val="42"/>
          <w:szCs w:val="44"/>
          <w:u w:val="thick" w:color="FF0000"/>
        </w:rPr>
      </w:pPr>
      <w:r>
        <w:rPr>
          <w:rFonts w:eastAsia="方正小标宋简体"/>
          <w:sz w:val="42"/>
          <w:szCs w:val="44"/>
          <w:u w:val="thick" w:color="FF0000"/>
        </w:rPr>
        <w:t xml:space="preserve">                                             </w:t>
      </w:r>
    </w:p>
    <w:p>
      <w:pPr>
        <w:spacing w:line="600" w:lineRule="exact"/>
        <w:jc w:val="center"/>
        <w:rPr>
          <w:rFonts w:eastAsia="方正小标宋简体"/>
          <w:sz w:val="44"/>
          <w:szCs w:val="44"/>
        </w:rPr>
      </w:pPr>
    </w:p>
    <w:p>
      <w:pPr>
        <w:spacing w:line="600" w:lineRule="exact"/>
        <w:jc w:val="center"/>
        <w:rPr>
          <w:rFonts w:eastAsia="方正小标宋_GBK"/>
          <w:sz w:val="44"/>
          <w:szCs w:val="44"/>
        </w:rPr>
      </w:pPr>
      <w:r>
        <w:rPr>
          <w:rFonts w:eastAsia="方正小标宋_GBK"/>
          <w:sz w:val="44"/>
          <w:szCs w:val="44"/>
        </w:rPr>
        <w:t>重庆市开州区实验中学</w:t>
      </w:r>
    </w:p>
    <w:p>
      <w:pPr>
        <w:spacing w:line="600" w:lineRule="exact"/>
        <w:jc w:val="center"/>
        <w:rPr>
          <w:rFonts w:eastAsia="方正小标宋_GBK"/>
          <w:sz w:val="44"/>
          <w:szCs w:val="44"/>
        </w:rPr>
      </w:pPr>
      <w:r>
        <w:rPr>
          <w:rFonts w:eastAsia="方正小标宋_GBK"/>
          <w:sz w:val="44"/>
          <w:szCs w:val="44"/>
        </w:rPr>
        <w:t>关于2024年部门预算情况公开的公告</w:t>
      </w:r>
    </w:p>
    <w:p>
      <w:pPr>
        <w:spacing w:line="600" w:lineRule="exact"/>
        <w:jc w:val="center"/>
        <w:rPr>
          <w:rFonts w:eastAsia="方正小标宋_GBK"/>
          <w:sz w:val="44"/>
          <w:szCs w:val="44"/>
        </w:rPr>
      </w:pPr>
    </w:p>
    <w:p>
      <w:pPr>
        <w:spacing w:line="600" w:lineRule="exact"/>
        <w:ind w:firstLine="518" w:firstLineChars="162"/>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color w:val="000000"/>
          <w:sz w:val="32"/>
          <w:szCs w:val="32"/>
        </w:rPr>
        <w:t>492</w:t>
      </w:r>
      <w:r>
        <w:rPr>
          <w:rFonts w:eastAsia="方正仿宋_GBK"/>
          <w:sz w:val="32"/>
          <w:szCs w:val="32"/>
        </w:rPr>
        <w:t>号）、重庆市开州区财政局《关于批复</w:t>
      </w:r>
      <w:r>
        <w:rPr>
          <w:rFonts w:eastAsia="方正仿宋_GBK"/>
          <w:color w:val="000000"/>
          <w:sz w:val="32"/>
          <w:szCs w:val="32"/>
        </w:rPr>
        <w:t>2024年区级部门预算的通知》（开州财教发〔2024〕10号）及重庆市开州区教育委员会《关于批复2024年部门预算的通知》（开州教财〔2024〕3号）要求,现将重庆市开州区实验中学2024年部门预算批复情况公开如下</w:t>
      </w:r>
      <w:r>
        <w:rPr>
          <w:rFonts w:eastAsia="方正仿宋_GBK"/>
          <w:sz w:val="32"/>
          <w:szCs w:val="32"/>
        </w:rPr>
        <w:t>：</w:t>
      </w:r>
    </w:p>
    <w:p>
      <w:pPr>
        <w:spacing w:line="600" w:lineRule="exact"/>
        <w:jc w:val="center"/>
        <w:rPr>
          <w:rFonts w:eastAsia="方正小标宋_GBK"/>
          <w:sz w:val="44"/>
          <w:szCs w:val="44"/>
        </w:rPr>
      </w:pPr>
      <w:r>
        <w:rPr>
          <w:rFonts w:eastAsia="方正仿宋_GBK"/>
          <w:sz w:val="32"/>
          <w:szCs w:val="32"/>
        </w:rPr>
        <w:br w:type="page"/>
      </w:r>
      <w:r>
        <w:rPr>
          <w:rFonts w:eastAsia="方正小标宋_GBK"/>
          <w:sz w:val="44"/>
          <w:szCs w:val="44"/>
        </w:rPr>
        <w:t>目 录</w:t>
      </w:r>
    </w:p>
    <w:p/>
    <w:p>
      <w:pPr>
        <w:spacing w:line="580" w:lineRule="exact"/>
        <w:jc w:val="center"/>
        <w:rPr>
          <w:rFonts w:eastAsia="方正楷体_GBK"/>
          <w:sz w:val="32"/>
          <w:szCs w:val="32"/>
        </w:rPr>
      </w:pPr>
      <w:r>
        <w:rPr>
          <w:rFonts w:eastAsia="方正楷体_GBK"/>
          <w:sz w:val="32"/>
          <w:szCs w:val="32"/>
        </w:rPr>
        <w:t>第一部分：</w:t>
      </w:r>
      <w:r>
        <w:rPr>
          <w:rFonts w:eastAsia="方正仿宋_GBK"/>
          <w:color w:val="000000"/>
          <w:sz w:val="32"/>
          <w:szCs w:val="32"/>
        </w:rPr>
        <w:t>2024</w:t>
      </w:r>
      <w:r>
        <w:rPr>
          <w:rFonts w:eastAsia="方正楷体_GBK"/>
          <w:sz w:val="32"/>
          <w:szCs w:val="32"/>
        </w:rPr>
        <w:t>年部门预算情况说明</w:t>
      </w:r>
    </w:p>
    <w:p>
      <w:pPr>
        <w:spacing w:line="580" w:lineRule="exact"/>
      </w:pPr>
    </w:p>
    <w:p>
      <w:pPr>
        <w:spacing w:line="580" w:lineRule="exact"/>
        <w:ind w:firstLine="518" w:firstLineChars="162"/>
        <w:rPr>
          <w:rFonts w:eastAsia="方正仿宋_GBK"/>
          <w:sz w:val="32"/>
          <w:szCs w:val="32"/>
        </w:rPr>
      </w:pPr>
      <w:r>
        <w:rPr>
          <w:rFonts w:eastAsia="方正仿宋_GBK"/>
          <w:sz w:val="32"/>
          <w:szCs w:val="32"/>
        </w:rPr>
        <w:t>一、单位基本情况</w:t>
      </w:r>
    </w:p>
    <w:p>
      <w:pPr>
        <w:spacing w:line="580" w:lineRule="exact"/>
        <w:ind w:firstLine="518" w:firstLineChars="162"/>
        <w:rPr>
          <w:rFonts w:eastAsia="方正仿宋_GBK"/>
          <w:sz w:val="32"/>
          <w:szCs w:val="32"/>
        </w:rPr>
      </w:pPr>
      <w:r>
        <w:rPr>
          <w:rFonts w:eastAsia="方正仿宋_GBK"/>
          <w:sz w:val="32"/>
          <w:szCs w:val="32"/>
        </w:rPr>
        <w:t>二、部门收支总体情况</w:t>
      </w:r>
    </w:p>
    <w:p>
      <w:pPr>
        <w:spacing w:line="580" w:lineRule="exact"/>
        <w:ind w:firstLine="518" w:firstLineChars="162"/>
        <w:rPr>
          <w:rFonts w:eastAsia="方正仿宋_GBK"/>
          <w:sz w:val="32"/>
          <w:szCs w:val="32"/>
        </w:rPr>
      </w:pPr>
      <w:r>
        <w:rPr>
          <w:rFonts w:eastAsia="方正仿宋_GBK"/>
          <w:sz w:val="32"/>
          <w:szCs w:val="32"/>
        </w:rPr>
        <w:t>三、部门预算情况说明</w:t>
      </w:r>
    </w:p>
    <w:p>
      <w:pPr>
        <w:spacing w:line="580" w:lineRule="exact"/>
        <w:ind w:firstLine="518" w:firstLineChars="162"/>
        <w:rPr>
          <w:rFonts w:eastAsia="方正仿宋_GBK"/>
          <w:sz w:val="32"/>
          <w:szCs w:val="32"/>
        </w:rPr>
      </w:pPr>
      <w:r>
        <w:rPr>
          <w:rFonts w:eastAsia="方正仿宋_GBK"/>
          <w:sz w:val="32"/>
          <w:szCs w:val="32"/>
        </w:rPr>
        <w:t>四、“三公”经费情况说明</w:t>
      </w:r>
    </w:p>
    <w:p>
      <w:pPr>
        <w:spacing w:line="580" w:lineRule="exact"/>
        <w:ind w:firstLine="518" w:firstLineChars="162"/>
        <w:rPr>
          <w:rFonts w:eastAsia="方正仿宋_GBK"/>
          <w:sz w:val="32"/>
          <w:szCs w:val="32"/>
        </w:rPr>
      </w:pPr>
      <w:r>
        <w:rPr>
          <w:rFonts w:eastAsia="方正仿宋_GBK"/>
          <w:sz w:val="32"/>
          <w:szCs w:val="32"/>
        </w:rPr>
        <w:t>五、其他重要事项的情况说明</w:t>
      </w:r>
    </w:p>
    <w:p>
      <w:pPr>
        <w:spacing w:line="580" w:lineRule="exact"/>
        <w:ind w:firstLine="518" w:firstLineChars="162"/>
        <w:rPr>
          <w:rFonts w:eastAsia="方正仿宋_GBK"/>
          <w:sz w:val="32"/>
          <w:szCs w:val="32"/>
        </w:rPr>
      </w:pPr>
      <w:r>
        <w:rPr>
          <w:rFonts w:eastAsia="方正仿宋_GBK"/>
          <w:sz w:val="32"/>
          <w:szCs w:val="32"/>
        </w:rPr>
        <w:t>六、专业性名词解释</w:t>
      </w:r>
    </w:p>
    <w:p>
      <w:pPr>
        <w:spacing w:line="580" w:lineRule="exact"/>
        <w:rPr>
          <w:rFonts w:eastAsia="方正仿宋_GBK"/>
          <w:sz w:val="32"/>
          <w:szCs w:val="32"/>
        </w:rPr>
      </w:pPr>
    </w:p>
    <w:p>
      <w:pPr>
        <w:spacing w:line="580" w:lineRule="exact"/>
        <w:jc w:val="center"/>
      </w:pPr>
      <w:r>
        <w:rPr>
          <w:rFonts w:eastAsia="方正楷体_GBK"/>
          <w:sz w:val="32"/>
          <w:szCs w:val="32"/>
        </w:rPr>
        <w:t>第二部分：</w:t>
      </w:r>
      <w:r>
        <w:rPr>
          <w:rFonts w:eastAsia="方正仿宋_GBK"/>
          <w:color w:val="000000"/>
          <w:sz w:val="32"/>
          <w:szCs w:val="32"/>
        </w:rPr>
        <w:t>2024</w:t>
      </w:r>
      <w:r>
        <w:rPr>
          <w:rFonts w:eastAsia="方正楷体_GBK"/>
          <w:sz w:val="32"/>
          <w:szCs w:val="32"/>
        </w:rPr>
        <w:t>年部门预算公开报表</w:t>
      </w:r>
    </w:p>
    <w:p>
      <w:pPr>
        <w:spacing w:line="580" w:lineRule="exact"/>
      </w:pPr>
    </w:p>
    <w:p>
      <w:pPr>
        <w:spacing w:line="580" w:lineRule="exact"/>
        <w:ind w:firstLine="518" w:firstLineChars="162"/>
        <w:rPr>
          <w:rFonts w:eastAsia="方正仿宋_GBK"/>
          <w:sz w:val="32"/>
          <w:szCs w:val="32"/>
        </w:rPr>
      </w:pPr>
      <w:r>
        <w:rPr>
          <w:rFonts w:eastAsia="方正仿宋_GBK"/>
          <w:sz w:val="32"/>
          <w:szCs w:val="32"/>
        </w:rPr>
        <w:t>表1、重庆市开州区实验中学收支预算总表</w:t>
      </w:r>
    </w:p>
    <w:p>
      <w:pPr>
        <w:spacing w:line="580" w:lineRule="exact"/>
        <w:ind w:firstLine="518" w:firstLineChars="162"/>
        <w:rPr>
          <w:rFonts w:eastAsia="方正仿宋_GBK"/>
          <w:sz w:val="32"/>
          <w:szCs w:val="32"/>
        </w:rPr>
      </w:pPr>
      <w:r>
        <w:rPr>
          <w:rFonts w:eastAsia="方正仿宋_GBK"/>
          <w:sz w:val="32"/>
          <w:szCs w:val="32"/>
        </w:rPr>
        <w:t>表2、重庆市开州区实验中学收入总表</w:t>
      </w:r>
    </w:p>
    <w:p>
      <w:pPr>
        <w:spacing w:line="580" w:lineRule="exact"/>
        <w:ind w:firstLine="518" w:firstLineChars="162"/>
        <w:rPr>
          <w:rFonts w:eastAsia="方正仿宋_GBK"/>
          <w:sz w:val="32"/>
          <w:szCs w:val="32"/>
        </w:rPr>
      </w:pPr>
      <w:r>
        <w:rPr>
          <w:rFonts w:eastAsia="方正仿宋_GBK"/>
          <w:sz w:val="32"/>
          <w:szCs w:val="32"/>
        </w:rPr>
        <w:t>表3、重庆市开州区实验中学本年支出预算总表</w:t>
      </w:r>
    </w:p>
    <w:p>
      <w:pPr>
        <w:spacing w:line="580" w:lineRule="exact"/>
        <w:ind w:firstLine="518" w:firstLineChars="162"/>
        <w:rPr>
          <w:rFonts w:eastAsia="方正仿宋_GBK"/>
          <w:sz w:val="32"/>
          <w:szCs w:val="32"/>
        </w:rPr>
      </w:pPr>
      <w:r>
        <w:rPr>
          <w:rFonts w:eastAsia="方正仿宋_GBK"/>
          <w:sz w:val="32"/>
          <w:szCs w:val="32"/>
        </w:rPr>
        <w:t>表4、重庆市开州区实验中学财政拨款收支预算总表</w:t>
      </w:r>
    </w:p>
    <w:p>
      <w:pPr>
        <w:spacing w:line="580" w:lineRule="exact"/>
        <w:ind w:firstLine="518" w:firstLineChars="162"/>
        <w:rPr>
          <w:rFonts w:eastAsia="方正仿宋_GBK"/>
          <w:sz w:val="32"/>
          <w:szCs w:val="32"/>
        </w:rPr>
      </w:pPr>
      <w:r>
        <w:rPr>
          <w:rFonts w:eastAsia="方正仿宋_GBK"/>
          <w:sz w:val="32"/>
          <w:szCs w:val="32"/>
        </w:rPr>
        <w:t>表5、重庆市开州区实验中学本年一般公共预算支出预算表</w:t>
      </w:r>
    </w:p>
    <w:p>
      <w:pPr>
        <w:spacing w:line="580" w:lineRule="exact"/>
        <w:ind w:firstLine="518" w:firstLineChars="162"/>
        <w:rPr>
          <w:rFonts w:eastAsia="方正仿宋_GBK"/>
          <w:sz w:val="32"/>
          <w:szCs w:val="32"/>
        </w:rPr>
      </w:pPr>
      <w:r>
        <w:rPr>
          <w:rFonts w:eastAsia="方正仿宋_GBK"/>
          <w:sz w:val="32"/>
          <w:szCs w:val="32"/>
        </w:rPr>
        <w:t>表6、重庆市开州区实验中学一般公共预算基本支出预算表</w:t>
      </w:r>
    </w:p>
    <w:p>
      <w:pPr>
        <w:spacing w:line="580" w:lineRule="exact"/>
        <w:ind w:firstLine="518" w:firstLineChars="162"/>
        <w:rPr>
          <w:rFonts w:eastAsia="方正仿宋_GBK"/>
          <w:sz w:val="32"/>
          <w:szCs w:val="32"/>
        </w:rPr>
      </w:pPr>
      <w:r>
        <w:rPr>
          <w:rFonts w:eastAsia="方正仿宋_GBK"/>
          <w:sz w:val="32"/>
          <w:szCs w:val="32"/>
        </w:rPr>
        <w:t>表7、重庆市开州区实验中学一般公共预算“三公”经费支出预算表</w:t>
      </w:r>
    </w:p>
    <w:p>
      <w:pPr>
        <w:spacing w:line="580" w:lineRule="exact"/>
        <w:ind w:firstLine="518" w:firstLineChars="162"/>
        <w:rPr>
          <w:rFonts w:eastAsia="方正仿宋_GBK"/>
          <w:sz w:val="32"/>
          <w:szCs w:val="32"/>
        </w:rPr>
      </w:pPr>
      <w:r>
        <w:rPr>
          <w:rFonts w:eastAsia="方正仿宋_GBK"/>
          <w:sz w:val="32"/>
          <w:szCs w:val="32"/>
        </w:rPr>
        <w:t>表8、重庆市开州区实验中学政府性基金预算支出预算表</w:t>
      </w:r>
    </w:p>
    <w:p>
      <w:pPr>
        <w:spacing w:line="580" w:lineRule="exact"/>
        <w:ind w:firstLine="518" w:firstLineChars="162"/>
        <w:rPr>
          <w:rFonts w:eastAsia="方正仿宋_GBK"/>
          <w:sz w:val="32"/>
          <w:szCs w:val="32"/>
        </w:rPr>
      </w:pPr>
      <w:r>
        <w:rPr>
          <w:rFonts w:eastAsia="方正仿宋_GBK"/>
          <w:sz w:val="32"/>
          <w:szCs w:val="32"/>
        </w:rPr>
        <w:t>表9、重庆市开州区实验中学国有资本经营预算支出预算表</w:t>
      </w:r>
    </w:p>
    <w:p>
      <w:pPr>
        <w:spacing w:line="580" w:lineRule="exact"/>
        <w:ind w:firstLine="518" w:firstLineChars="162"/>
        <w:rPr>
          <w:rFonts w:eastAsia="方正小标宋_GBK"/>
          <w:sz w:val="44"/>
          <w:szCs w:val="44"/>
        </w:rPr>
      </w:pPr>
      <w:r>
        <w:rPr>
          <w:rFonts w:eastAsia="方正仿宋_GBK"/>
          <w:sz w:val="32"/>
          <w:szCs w:val="32"/>
        </w:rPr>
        <w:t>表10、重庆市开州区实验中学项目支出表</w:t>
      </w:r>
    </w:p>
    <w:p>
      <w:pPr>
        <w:spacing w:line="600" w:lineRule="exact"/>
        <w:jc w:val="center"/>
        <w:rPr>
          <w:rFonts w:eastAsia="方正小标宋_GBK"/>
          <w:sz w:val="44"/>
          <w:szCs w:val="44"/>
        </w:rPr>
      </w:pPr>
      <w:r>
        <w:rPr>
          <w:rFonts w:eastAsia="方正小标宋_GBK"/>
          <w:sz w:val="44"/>
          <w:szCs w:val="44"/>
        </w:rPr>
        <w:t>第一部分：2024年部门预算情况说明</w:t>
      </w:r>
    </w:p>
    <w:p/>
    <w:p>
      <w:pPr>
        <w:spacing w:line="600" w:lineRule="exact"/>
        <w:ind w:left="640"/>
        <w:rPr>
          <w:rFonts w:eastAsia="方正黑体_GBK"/>
          <w:sz w:val="32"/>
        </w:rPr>
      </w:pPr>
      <w:r>
        <w:rPr>
          <w:rFonts w:eastAsia="方正黑体_GBK"/>
          <w:sz w:val="32"/>
        </w:rPr>
        <w:t>一、单位基本情况</w:t>
      </w:r>
    </w:p>
    <w:p>
      <w:pPr>
        <w:spacing w:line="600" w:lineRule="exact"/>
        <w:ind w:firstLine="518" w:firstLineChars="162"/>
        <w:rPr>
          <w:rFonts w:eastAsia="方正仿宋_GBK"/>
          <w:sz w:val="32"/>
          <w:szCs w:val="32"/>
        </w:rPr>
      </w:pPr>
      <w:r>
        <w:rPr>
          <w:rFonts w:eastAsia="方正仿宋_GBK"/>
          <w:sz w:val="32"/>
          <w:szCs w:val="32"/>
        </w:rPr>
        <w:t>（一）职能职责</w:t>
      </w:r>
    </w:p>
    <w:p>
      <w:pPr>
        <w:spacing w:line="600" w:lineRule="exact"/>
        <w:ind w:firstLine="518" w:firstLineChars="162"/>
        <w:rPr>
          <w:rFonts w:eastAsia="方正仿宋_GBK"/>
          <w:sz w:val="32"/>
          <w:szCs w:val="32"/>
        </w:rPr>
      </w:pPr>
      <w:r>
        <w:rPr>
          <w:rFonts w:eastAsia="方正仿宋_GBK"/>
          <w:sz w:val="32"/>
          <w:szCs w:val="32"/>
        </w:rPr>
        <w:t>1.组织实施教育教学活动，维护学校的教学秩序。</w:t>
      </w:r>
    </w:p>
    <w:p>
      <w:pPr>
        <w:spacing w:line="600" w:lineRule="exact"/>
        <w:ind w:firstLine="518" w:firstLineChars="162"/>
        <w:rPr>
          <w:rFonts w:eastAsia="方正仿宋_GBK"/>
          <w:sz w:val="32"/>
          <w:szCs w:val="32"/>
        </w:rPr>
      </w:pPr>
      <w:r>
        <w:rPr>
          <w:rFonts w:eastAsia="方正仿宋_GBK"/>
          <w:sz w:val="32"/>
          <w:szCs w:val="32"/>
        </w:rPr>
        <w:t>2.对受教育者进行学籍管理，实施奖励或者处分，颁发相应的学业证书。</w:t>
      </w:r>
    </w:p>
    <w:p>
      <w:pPr>
        <w:spacing w:line="600" w:lineRule="exact"/>
        <w:ind w:firstLine="518" w:firstLineChars="162"/>
        <w:rPr>
          <w:rFonts w:eastAsia="方正仿宋_GBK"/>
          <w:sz w:val="32"/>
          <w:szCs w:val="32"/>
        </w:rPr>
      </w:pPr>
      <w:r>
        <w:rPr>
          <w:rFonts w:eastAsia="方正仿宋_GBK"/>
          <w:sz w:val="32"/>
          <w:szCs w:val="32"/>
        </w:rPr>
        <w:t>3.聘任教职工，实施奖励或者处分。</w:t>
      </w:r>
    </w:p>
    <w:p>
      <w:pPr>
        <w:spacing w:line="600" w:lineRule="exact"/>
        <w:ind w:firstLine="518" w:firstLineChars="162"/>
        <w:rPr>
          <w:rFonts w:eastAsia="方正仿宋_GBK"/>
          <w:sz w:val="32"/>
          <w:szCs w:val="32"/>
        </w:rPr>
      </w:pPr>
      <w:r>
        <w:rPr>
          <w:rFonts w:eastAsia="方正仿宋_GBK"/>
          <w:sz w:val="32"/>
          <w:szCs w:val="32"/>
        </w:rPr>
        <w:t>4.维护受教育者、教师及其他职工的合法权益。</w:t>
      </w:r>
    </w:p>
    <w:p>
      <w:pPr>
        <w:spacing w:line="600" w:lineRule="exact"/>
        <w:ind w:firstLine="518" w:firstLineChars="162"/>
        <w:rPr>
          <w:rFonts w:eastAsia="方正仿宋_GBK"/>
          <w:sz w:val="32"/>
          <w:szCs w:val="32"/>
        </w:rPr>
      </w:pPr>
      <w:r>
        <w:rPr>
          <w:rFonts w:eastAsia="方正仿宋_GBK"/>
          <w:sz w:val="32"/>
          <w:szCs w:val="32"/>
        </w:rPr>
        <w:t>5.根据学校规模，设置学校管理机构，建立健全各项规章制度和岗位责任制。</w:t>
      </w:r>
    </w:p>
    <w:p>
      <w:pPr>
        <w:spacing w:line="600" w:lineRule="exact"/>
        <w:ind w:firstLine="518" w:firstLineChars="162"/>
        <w:rPr>
          <w:rFonts w:eastAsia="方正仿宋_GBK"/>
          <w:sz w:val="32"/>
          <w:szCs w:val="32"/>
        </w:rPr>
      </w:pPr>
      <w:r>
        <w:rPr>
          <w:rFonts w:eastAsia="方正仿宋_GBK"/>
          <w:sz w:val="32"/>
          <w:szCs w:val="32"/>
        </w:rPr>
        <w:t>6.做好学校安全稳定工作和后勤保障服务工作。</w:t>
      </w:r>
    </w:p>
    <w:p>
      <w:pPr>
        <w:spacing w:line="600" w:lineRule="exact"/>
        <w:ind w:firstLine="518" w:firstLineChars="162"/>
        <w:rPr>
          <w:rFonts w:eastAsia="方正仿宋_GBK"/>
          <w:sz w:val="32"/>
          <w:szCs w:val="32"/>
        </w:rPr>
      </w:pPr>
      <w:r>
        <w:rPr>
          <w:rFonts w:eastAsia="方正仿宋_GBK"/>
          <w:sz w:val="32"/>
          <w:szCs w:val="32"/>
        </w:rPr>
        <w:t>（二）单位构成</w:t>
      </w:r>
    </w:p>
    <w:p>
      <w:pPr>
        <w:spacing w:line="600" w:lineRule="exact"/>
        <w:ind w:firstLine="518" w:firstLineChars="162"/>
        <w:rPr>
          <w:rFonts w:eastAsia="方正仿宋_GBK"/>
          <w:sz w:val="32"/>
          <w:szCs w:val="32"/>
        </w:rPr>
      </w:pPr>
      <w:r>
        <w:rPr>
          <w:rFonts w:eastAsia="方正仿宋_GBK"/>
          <w:sz w:val="32"/>
          <w:szCs w:val="32"/>
        </w:rPr>
        <w:t>重庆市开州区实验中学内</w:t>
      </w:r>
      <w:r>
        <w:rPr>
          <w:rFonts w:eastAsia="方正仿宋_GBK"/>
          <w:color w:val="000000"/>
          <w:sz w:val="32"/>
          <w:szCs w:val="32"/>
        </w:rPr>
        <w:t>设9个</w:t>
      </w:r>
      <w:r>
        <w:rPr>
          <w:rFonts w:eastAsia="方正仿宋_GBK"/>
          <w:sz w:val="32"/>
          <w:szCs w:val="32"/>
        </w:rPr>
        <w:t>职能处室，分别为办公室、教务处、总务处、政教处、安稳办、教科室、信息中心、体艺卫处、校团委。</w:t>
      </w:r>
    </w:p>
    <w:p>
      <w:pPr>
        <w:spacing w:line="600" w:lineRule="exact"/>
        <w:ind w:left="640"/>
        <w:rPr>
          <w:rFonts w:eastAsia="方正仿宋_GBK"/>
          <w:sz w:val="32"/>
        </w:rPr>
      </w:pPr>
      <w:r>
        <w:rPr>
          <w:rFonts w:eastAsia="方正黑体_GBK"/>
          <w:sz w:val="32"/>
        </w:rPr>
        <w:t>二、部门收支总体情况</w:t>
      </w:r>
    </w:p>
    <w:p>
      <w:pPr>
        <w:spacing w:line="600" w:lineRule="exact"/>
        <w:ind w:firstLine="518" w:firstLineChars="162"/>
        <w:rPr>
          <w:rFonts w:eastAsia="方正仿宋_GBK"/>
          <w:sz w:val="32"/>
          <w:szCs w:val="32"/>
        </w:rPr>
      </w:pPr>
      <w:r>
        <w:rPr>
          <w:rFonts w:eastAsia="方正仿宋_GBK"/>
          <w:sz w:val="32"/>
          <w:szCs w:val="32"/>
        </w:rPr>
        <w:t>（一）收入预算：</w:t>
      </w:r>
      <w:r>
        <w:rPr>
          <w:rFonts w:eastAsia="方正仿宋_GBK"/>
          <w:color w:val="000000"/>
          <w:sz w:val="32"/>
          <w:szCs w:val="32"/>
        </w:rPr>
        <w:t>2024年年初预算9913.61万元（含上年结转117.45万元），其中：一般公共预算拨款9913.61万元（含上年结转117.45万元），政府性基金预算拨款0万元，事业收入0万元，其他收入0万元。收入较2023年增加135.65万元，主要是教育支出拨款增加169.45万元、社会保障和就业拨款减少7.6</w:t>
      </w:r>
      <w:r>
        <w:rPr>
          <w:rFonts w:eastAsia="方正仿宋_GBK"/>
          <w:sz w:val="32"/>
          <w:szCs w:val="32"/>
        </w:rPr>
        <w:t>万元、</w:t>
      </w:r>
      <w:r>
        <w:rPr>
          <w:rFonts w:eastAsia="方正仿宋_GBK"/>
          <w:color w:val="000000"/>
          <w:sz w:val="32"/>
          <w:szCs w:val="32"/>
        </w:rPr>
        <w:t>卫生</w:t>
      </w:r>
      <w:r>
        <w:rPr>
          <w:rFonts w:eastAsia="方正仿宋_GBK"/>
          <w:sz w:val="32"/>
          <w:szCs w:val="32"/>
        </w:rPr>
        <w:t>健康拨款减少</w:t>
      </w:r>
      <w:r>
        <w:rPr>
          <w:rFonts w:eastAsia="方正仿宋_GBK"/>
          <w:color w:val="000000"/>
          <w:sz w:val="32"/>
          <w:szCs w:val="32"/>
        </w:rPr>
        <w:t>23.56万</w:t>
      </w:r>
      <w:r>
        <w:rPr>
          <w:rFonts w:eastAsia="方正仿宋_GBK"/>
          <w:sz w:val="32"/>
          <w:szCs w:val="32"/>
        </w:rPr>
        <w:t>元、住房保障支出拨款减少</w:t>
      </w:r>
      <w:r>
        <w:rPr>
          <w:rFonts w:eastAsia="方正仿宋_GBK"/>
          <w:color w:val="000000"/>
          <w:sz w:val="32"/>
          <w:szCs w:val="32"/>
        </w:rPr>
        <w:t>2.64</w:t>
      </w:r>
      <w:r>
        <w:rPr>
          <w:rFonts w:eastAsia="方正仿宋_GBK"/>
          <w:sz w:val="32"/>
          <w:szCs w:val="32"/>
        </w:rPr>
        <w:t>万元。</w:t>
      </w:r>
    </w:p>
    <w:p>
      <w:pPr>
        <w:spacing w:line="600" w:lineRule="exact"/>
        <w:ind w:firstLine="518" w:firstLineChars="162"/>
        <w:rPr>
          <w:rFonts w:eastAsia="方正仿宋_GBK"/>
          <w:color w:val="000000"/>
          <w:sz w:val="32"/>
          <w:szCs w:val="32"/>
        </w:rPr>
      </w:pPr>
      <w:r>
        <w:rPr>
          <w:rFonts w:eastAsia="方正仿宋_GBK"/>
          <w:sz w:val="32"/>
          <w:szCs w:val="32"/>
        </w:rPr>
        <w:t>（二）支出预算：</w:t>
      </w:r>
      <w:r>
        <w:rPr>
          <w:rFonts w:eastAsia="方正仿宋_GBK"/>
          <w:color w:val="000000"/>
          <w:sz w:val="32"/>
          <w:szCs w:val="32"/>
        </w:rPr>
        <w:t>2024年年初预算数9913.61万元（含上年结转117.45万元），其中：一般公共服务支出预算0万元，教育支出预算7632.21万元，社会保障和就业支出预算1291.21万元，卫生健康支出预算504.9万元，住房保障支出预算485.3万元。支出预算较2023年增加169.45万元，主要是教育支出拨款增加169.45万元、社会保障和就业拨款减少7.6万元、卫生健康拨款减少23.56万元、住房保障支出拨款减少2.64万元。</w:t>
      </w:r>
    </w:p>
    <w:p>
      <w:pPr>
        <w:spacing w:line="600" w:lineRule="exact"/>
        <w:ind w:firstLine="640" w:firstLineChars="200"/>
        <w:rPr>
          <w:rFonts w:eastAsia="方正黑体_GBK"/>
          <w:sz w:val="32"/>
        </w:rPr>
      </w:pPr>
      <w:r>
        <w:rPr>
          <w:rFonts w:eastAsia="方正黑体_GBK"/>
          <w:sz w:val="32"/>
        </w:rPr>
        <w:t>三、部门预算情况说明</w:t>
      </w:r>
    </w:p>
    <w:p>
      <w:pPr>
        <w:spacing w:line="600" w:lineRule="exact"/>
        <w:ind w:firstLine="518" w:firstLineChars="162"/>
        <w:rPr>
          <w:rFonts w:eastAsia="方正仿宋_GBK"/>
          <w:color w:val="000000"/>
          <w:sz w:val="32"/>
          <w:szCs w:val="32"/>
        </w:rPr>
      </w:pPr>
      <w:r>
        <w:rPr>
          <w:rFonts w:eastAsia="方正仿宋_GBK"/>
          <w:color w:val="000000"/>
          <w:sz w:val="32"/>
          <w:szCs w:val="32"/>
        </w:rPr>
        <w:t>2024年一般公共预算财政拨款收入9913.61万元（含上年结转117.45万元），一般公共预算财政拨款支出9913.61万元</w:t>
      </w:r>
      <w:r>
        <w:rPr>
          <w:rFonts w:eastAsia="方正仿宋_GBK"/>
          <w:sz w:val="32"/>
          <w:szCs w:val="32"/>
        </w:rPr>
        <w:t>，比</w:t>
      </w:r>
      <w:r>
        <w:rPr>
          <w:rFonts w:eastAsia="方正仿宋_GBK"/>
          <w:color w:val="000000"/>
          <w:sz w:val="32"/>
          <w:szCs w:val="32"/>
        </w:rPr>
        <w:t>2023年增加135.65万元。其中：基本支出9077.57万元，比2023年减少16.87万元，主要原因是退休人员增加，新增招聘人员相比工</w:t>
      </w:r>
      <w:r>
        <w:rPr>
          <w:rFonts w:eastAsia="方正仿宋_GBK"/>
          <w:sz w:val="32"/>
          <w:szCs w:val="32"/>
        </w:rPr>
        <w:t>资较低等，主要用于保障在职人员工资福利及社会保险缴费，退休人员补助等，保障部门正常运转的各项商品服务支出；项目支出</w:t>
      </w:r>
      <w:r>
        <w:rPr>
          <w:rFonts w:eastAsia="方正仿宋_GBK"/>
          <w:color w:val="000000"/>
          <w:sz w:val="32"/>
          <w:szCs w:val="32"/>
        </w:rPr>
        <w:t>836.05万元，比2023年增加152.52万元，主要原因是新增安排项目渝财教[2023]145号-高中改善办学条件-高考播音系统改造80万元、2024年预算大本-渝财教[2023]145号</w:t>
      </w:r>
      <w:r>
        <w:rPr>
          <w:rFonts w:eastAsia="方正仿宋_GBK"/>
          <w:sz w:val="32"/>
          <w:szCs w:val="32"/>
        </w:rPr>
        <w:t>-高中改善办学条件-学生宿舍改造</w:t>
      </w:r>
      <w:r>
        <w:rPr>
          <w:rFonts w:eastAsia="方正仿宋_GBK"/>
          <w:color w:val="000000"/>
          <w:sz w:val="32"/>
          <w:szCs w:val="32"/>
        </w:rPr>
        <w:t>200万元、2024年预算大本-渝财教[2023]145号-高中改善办学条件-教学楼女生厕所扩容80万元、2024年预</w:t>
      </w:r>
      <w:r>
        <w:rPr>
          <w:rFonts w:eastAsia="方正仿宋_GBK"/>
          <w:sz w:val="32"/>
          <w:szCs w:val="32"/>
        </w:rPr>
        <w:t>算大本-渝财</w:t>
      </w:r>
      <w:r>
        <w:rPr>
          <w:rFonts w:eastAsia="方正仿宋_GBK"/>
          <w:color w:val="000000"/>
          <w:sz w:val="32"/>
          <w:szCs w:val="32"/>
        </w:rPr>
        <w:t>教[2023]160号-义教薄改与能力提升-班班通22.5万元、2024年预算大本-渝财教[2023]142号-校园保安服务费27.02万元、2024年预算大本-渝财教[2023]180号-高中资助303.98万</w:t>
      </w:r>
      <w:r>
        <w:rPr>
          <w:rFonts w:eastAsia="方正仿宋_GBK"/>
          <w:sz w:val="32"/>
          <w:szCs w:val="32"/>
        </w:rPr>
        <w:t>元、2024年预算大本-渝财</w:t>
      </w:r>
      <w:r>
        <w:rPr>
          <w:rFonts w:eastAsia="方正仿宋_GBK"/>
          <w:color w:val="000000"/>
          <w:sz w:val="32"/>
          <w:szCs w:val="32"/>
        </w:rPr>
        <w:t>教[2023]182号-义教家庭经济困难生活费补助（初中）5.09万元。上年结转开州财教发[2023]37号-渝财教[2023]39号-下达2023年普通高中学校新高考综合改革（改善办学条件）资金预算（第二批）-校园地面排危改造88.31万元、2023年</w:t>
      </w:r>
      <w:r>
        <w:rPr>
          <w:rFonts w:eastAsia="方正仿宋_GBK"/>
          <w:sz w:val="32"/>
          <w:szCs w:val="32"/>
        </w:rPr>
        <w:t>预算大本-渝财</w:t>
      </w:r>
      <w:r>
        <w:rPr>
          <w:rFonts w:eastAsia="方正仿宋_GBK"/>
          <w:color w:val="000000"/>
          <w:sz w:val="32"/>
          <w:szCs w:val="32"/>
        </w:rPr>
        <w:t>教[2022]188号-关于下达2023年普通高中学校改善办学条件资金预算的通知-校园围墙整治20万元、2023年预算</w:t>
      </w:r>
      <w:r>
        <w:rPr>
          <w:rFonts w:eastAsia="方正仿宋_GBK"/>
          <w:sz w:val="32"/>
          <w:szCs w:val="32"/>
        </w:rPr>
        <w:t>大本-渝财教</w:t>
      </w:r>
      <w:r>
        <w:rPr>
          <w:rFonts w:eastAsia="方正仿宋_GBK"/>
          <w:color w:val="000000"/>
          <w:sz w:val="32"/>
          <w:szCs w:val="32"/>
        </w:rPr>
        <w:t>[2022]188号-关于下达2023年普通高中学校改善办学条件资金预算的通知-运动场LED显示屏0.05万元、渝财教[2022]195号-</w:t>
      </w:r>
      <w:r>
        <w:rPr>
          <w:rFonts w:eastAsia="方正仿宋_GBK"/>
          <w:sz w:val="32"/>
          <w:szCs w:val="32"/>
        </w:rPr>
        <w:t>关于下达</w:t>
      </w:r>
      <w:r>
        <w:rPr>
          <w:rFonts w:eastAsia="方正仿宋_GBK"/>
          <w:color w:val="000000"/>
          <w:sz w:val="32"/>
          <w:szCs w:val="32"/>
        </w:rPr>
        <w:t>2023年义务教育薄弱环节改善与能力提升资金预算的通知-实验室建设4万元、开州财教发[2022]60号-渝财教[2021]204号</w:t>
      </w:r>
      <w:r>
        <w:rPr>
          <w:rFonts w:eastAsia="方正仿宋_GBK"/>
          <w:sz w:val="32"/>
          <w:szCs w:val="32"/>
        </w:rPr>
        <w:t>-下</w:t>
      </w:r>
      <w:r>
        <w:rPr>
          <w:rFonts w:eastAsia="方正仿宋_GBK"/>
          <w:color w:val="000000"/>
          <w:sz w:val="32"/>
          <w:szCs w:val="32"/>
        </w:rPr>
        <w:t>达2022年普通高中学校改善办学条件资金-体育馆顶棚面及钢架除锈5.09万元。</w:t>
      </w:r>
    </w:p>
    <w:p>
      <w:pPr>
        <w:spacing w:line="600" w:lineRule="exact"/>
        <w:ind w:firstLine="518" w:firstLineChars="162"/>
        <w:rPr>
          <w:rFonts w:eastAsia="方正仿宋_GBK"/>
          <w:sz w:val="32"/>
          <w:szCs w:val="32"/>
        </w:rPr>
      </w:pPr>
      <w:r>
        <w:rPr>
          <w:rFonts w:eastAsia="方正仿宋_GBK"/>
          <w:color w:val="000000"/>
          <w:sz w:val="32"/>
          <w:szCs w:val="32"/>
        </w:rPr>
        <w:t>2024年政府性基</w:t>
      </w:r>
      <w:r>
        <w:rPr>
          <w:rFonts w:eastAsia="方正仿宋_GBK"/>
          <w:sz w:val="32"/>
          <w:szCs w:val="32"/>
        </w:rPr>
        <w:t>金预算收</w:t>
      </w:r>
      <w:r>
        <w:rPr>
          <w:rFonts w:eastAsia="方正仿宋_GBK"/>
          <w:color w:val="000000"/>
          <w:sz w:val="32"/>
          <w:szCs w:val="32"/>
        </w:rPr>
        <w:t>入0万元，政府性基金预算支出0万元，2024年无使用政府基金预算拨款安</w:t>
      </w:r>
      <w:r>
        <w:rPr>
          <w:rFonts w:eastAsia="方正仿宋_GBK"/>
          <w:sz w:val="32"/>
          <w:szCs w:val="32"/>
        </w:rPr>
        <w:t>排的收支。</w:t>
      </w:r>
    </w:p>
    <w:p>
      <w:pPr>
        <w:spacing w:line="600" w:lineRule="exact"/>
        <w:ind w:firstLine="640" w:firstLineChars="200"/>
        <w:rPr>
          <w:rFonts w:eastAsia="方正仿宋_GBK"/>
          <w:sz w:val="32"/>
        </w:rPr>
      </w:pPr>
      <w:r>
        <w:rPr>
          <w:rFonts w:eastAsia="方正黑体_GBK"/>
          <w:sz w:val="32"/>
        </w:rPr>
        <w:t>四、“三公”经费情况说明</w:t>
      </w:r>
    </w:p>
    <w:p>
      <w:pPr>
        <w:spacing w:line="600" w:lineRule="exact"/>
        <w:ind w:firstLine="518" w:firstLineChars="162"/>
        <w:rPr>
          <w:rFonts w:eastAsia="方正仿宋_GBK"/>
          <w:sz w:val="32"/>
          <w:szCs w:val="32"/>
        </w:rPr>
      </w:pPr>
      <w:r>
        <w:rPr>
          <w:rFonts w:eastAsia="方正仿宋_GBK"/>
          <w:color w:val="000000"/>
          <w:sz w:val="32"/>
          <w:szCs w:val="32"/>
        </w:rPr>
        <w:t>2024年“三公”经费预算2万元，与2023年“三公”经费安排预算减少3万元</w:t>
      </w:r>
      <w:r>
        <w:rPr>
          <w:rFonts w:eastAsia="方正仿宋_GBK"/>
          <w:sz w:val="32"/>
          <w:szCs w:val="32"/>
        </w:rPr>
        <w:t>。其中</w:t>
      </w:r>
      <w:r>
        <w:rPr>
          <w:rFonts w:eastAsia="方正仿宋_GBK"/>
          <w:color w:val="000000"/>
          <w:sz w:val="32"/>
          <w:szCs w:val="32"/>
        </w:rPr>
        <w:t>：公务接待费2万元，主要原因是单位厉行节约，公务接待减少，年初安排预算相应</w:t>
      </w:r>
      <w:r>
        <w:rPr>
          <w:rFonts w:eastAsia="方正仿宋_GBK"/>
          <w:sz w:val="32"/>
          <w:szCs w:val="32"/>
        </w:rPr>
        <w:t>减少。</w:t>
      </w:r>
    </w:p>
    <w:p>
      <w:pPr>
        <w:spacing w:line="600" w:lineRule="exact"/>
        <w:ind w:left="640"/>
        <w:rPr>
          <w:rFonts w:eastAsia="方正黑体_GBK"/>
          <w:sz w:val="32"/>
        </w:rPr>
      </w:pPr>
      <w:r>
        <w:rPr>
          <w:rFonts w:eastAsia="方正黑体_GBK"/>
          <w:sz w:val="32"/>
        </w:rPr>
        <w:t>五、其他重要事项的情况说明</w:t>
      </w:r>
    </w:p>
    <w:p>
      <w:pPr>
        <w:spacing w:line="600" w:lineRule="exact"/>
        <w:ind w:firstLine="518" w:firstLineChars="162"/>
        <w:rPr>
          <w:rFonts w:eastAsia="方正仿宋_GBK"/>
          <w:sz w:val="32"/>
          <w:szCs w:val="32"/>
        </w:rPr>
      </w:pPr>
      <w:r>
        <w:rPr>
          <w:rFonts w:eastAsia="方正仿宋_GBK"/>
          <w:sz w:val="32"/>
          <w:szCs w:val="32"/>
        </w:rPr>
        <w:t>1．我单位不在机关运行经费统计范围之内。</w:t>
      </w:r>
    </w:p>
    <w:p>
      <w:pPr>
        <w:overflowPunct w:val="0"/>
        <w:spacing w:line="600" w:lineRule="exact"/>
        <w:ind w:firstLine="640" w:firstLineChars="200"/>
        <w:rPr>
          <w:rFonts w:eastAsia="方正仿宋_GBK"/>
          <w:sz w:val="32"/>
        </w:rPr>
      </w:pPr>
      <w:r>
        <w:rPr>
          <w:rFonts w:eastAsia="方正仿宋_GBK"/>
          <w:sz w:val="32"/>
          <w:szCs w:val="32"/>
        </w:rPr>
        <w:t>2．政府采购情况。</w:t>
      </w:r>
      <w:r>
        <w:rPr>
          <w:rFonts w:hint="eastAsia" w:eastAsia="方正仿宋_GBK"/>
          <w:sz w:val="32"/>
        </w:rPr>
        <w:t>本单位政府采购预算总额</w:t>
      </w:r>
      <w:r>
        <w:rPr>
          <w:rFonts w:eastAsia="方正仿宋_GBK"/>
          <w:sz w:val="32"/>
        </w:rPr>
        <w:t>2</w:t>
      </w:r>
      <w:r>
        <w:rPr>
          <w:rFonts w:hint="eastAsia" w:eastAsia="方正仿宋_GBK"/>
          <w:sz w:val="32"/>
        </w:rPr>
        <w:t>80万元：政府采购货物预算</w:t>
      </w:r>
      <w:r>
        <w:rPr>
          <w:rFonts w:eastAsia="方正仿宋_GBK"/>
          <w:sz w:val="32"/>
        </w:rPr>
        <w:t>2</w:t>
      </w:r>
      <w:r>
        <w:rPr>
          <w:rFonts w:hint="eastAsia" w:eastAsia="方正仿宋_GBK"/>
          <w:sz w:val="32"/>
        </w:rPr>
        <w:t>80万元；其中一般公共预算拨款政府采购</w:t>
      </w:r>
      <w:r>
        <w:rPr>
          <w:rFonts w:eastAsia="方正仿宋_GBK"/>
          <w:sz w:val="32"/>
        </w:rPr>
        <w:t>2</w:t>
      </w:r>
      <w:r>
        <w:rPr>
          <w:rFonts w:hint="eastAsia" w:eastAsia="方正仿宋_GBK"/>
          <w:sz w:val="32"/>
        </w:rPr>
        <w:t>80万元：政府采购货物预算</w:t>
      </w:r>
      <w:r>
        <w:rPr>
          <w:rFonts w:eastAsia="方正仿宋_GBK"/>
          <w:sz w:val="32"/>
        </w:rPr>
        <w:t>2</w:t>
      </w:r>
      <w:r>
        <w:rPr>
          <w:rFonts w:hint="eastAsia" w:eastAsia="方正仿宋_GBK"/>
          <w:sz w:val="32"/>
        </w:rPr>
        <w:t>80万元。</w:t>
      </w:r>
    </w:p>
    <w:p>
      <w:pPr>
        <w:spacing w:line="600" w:lineRule="exact"/>
        <w:ind w:firstLine="518" w:firstLineChars="162"/>
        <w:rPr>
          <w:rFonts w:eastAsia="方正仿宋_GBK"/>
          <w:color w:val="000000"/>
          <w:sz w:val="32"/>
          <w:szCs w:val="32"/>
        </w:rPr>
      </w:pPr>
      <w:r>
        <w:rPr>
          <w:rFonts w:eastAsia="方正仿宋_GBK"/>
          <w:color w:val="000000"/>
          <w:sz w:val="32"/>
          <w:szCs w:val="32"/>
        </w:rPr>
        <w:t>3．绩效目标设置情况。2024年项目支出均</w:t>
      </w:r>
      <w:r>
        <w:rPr>
          <w:rFonts w:eastAsia="方正仿宋_GBK"/>
          <w:sz w:val="32"/>
          <w:szCs w:val="32"/>
        </w:rPr>
        <w:t>实行了绩效目标管理，涉及一般公共预算当年财政拨款</w:t>
      </w:r>
      <w:r>
        <w:rPr>
          <w:rFonts w:eastAsia="方正仿宋_GBK"/>
          <w:color w:val="000000"/>
          <w:sz w:val="32"/>
          <w:szCs w:val="32"/>
        </w:rPr>
        <w:t>718.59万元。</w:t>
      </w:r>
    </w:p>
    <w:p>
      <w:pPr>
        <w:spacing w:line="600" w:lineRule="exact"/>
        <w:ind w:firstLine="518" w:firstLineChars="162"/>
        <w:rPr>
          <w:rFonts w:eastAsia="方正仿宋_GBK"/>
          <w:color w:val="000000"/>
          <w:sz w:val="32"/>
          <w:szCs w:val="32"/>
        </w:rPr>
      </w:pPr>
      <w:r>
        <w:rPr>
          <w:rFonts w:eastAsia="方正仿宋_GBK"/>
          <w:sz w:val="32"/>
          <w:szCs w:val="32"/>
        </w:rPr>
        <w:t>4．国有资产占有使用情况</w:t>
      </w:r>
      <w:r>
        <w:rPr>
          <w:rFonts w:eastAsia="方正仿宋_GBK"/>
          <w:color w:val="000000"/>
          <w:sz w:val="32"/>
          <w:szCs w:val="32"/>
        </w:rPr>
        <w:t>。</w:t>
      </w:r>
      <w:r>
        <w:rPr>
          <w:rFonts w:hint="eastAsia" w:eastAsia="方正仿宋_GBK"/>
          <w:color w:val="000000"/>
          <w:sz w:val="32"/>
          <w:szCs w:val="32"/>
          <w:lang w:eastAsia="zh-CN"/>
        </w:rPr>
        <w:t>截至</w:t>
      </w:r>
      <w:r>
        <w:rPr>
          <w:rFonts w:eastAsia="方正仿宋_GBK"/>
          <w:color w:val="000000"/>
          <w:sz w:val="32"/>
          <w:szCs w:val="32"/>
        </w:rPr>
        <w:t>2023年12月，本单位共有车辆0辆，其中一般公务用车0辆、执勤执法用车0辆。2023年一般公共预算安排购置车辆0辆，其中一般公务用车0辆、执勤执法用车0辆。</w:t>
      </w:r>
    </w:p>
    <w:p>
      <w:pPr>
        <w:spacing w:line="600" w:lineRule="exact"/>
        <w:ind w:left="640"/>
        <w:rPr>
          <w:rFonts w:eastAsia="方正黑体_GBK"/>
          <w:sz w:val="32"/>
        </w:rPr>
      </w:pPr>
      <w:r>
        <w:rPr>
          <w:rFonts w:eastAsia="方正黑体_GBK"/>
          <w:sz w:val="32"/>
        </w:rPr>
        <w:t>六、专业性名词解释</w:t>
      </w:r>
    </w:p>
    <w:p>
      <w:pPr>
        <w:spacing w:line="600" w:lineRule="exact"/>
        <w:ind w:firstLine="518" w:firstLineChars="162"/>
        <w:rPr>
          <w:rFonts w:eastAsia="方正仿宋_GBK"/>
          <w:sz w:val="32"/>
          <w:szCs w:val="32"/>
        </w:rPr>
      </w:pPr>
      <w:r>
        <w:rPr>
          <w:rFonts w:eastAsia="方正仿宋_GBK"/>
          <w:sz w:val="32"/>
          <w:szCs w:val="32"/>
        </w:rPr>
        <w:t>（以下为常见专业名词解释，部门应根据实际情况进行解释和增减。）</w:t>
      </w:r>
    </w:p>
    <w:p>
      <w:pPr>
        <w:spacing w:line="600" w:lineRule="exact"/>
        <w:ind w:firstLine="518" w:firstLineChars="162"/>
        <w:rPr>
          <w:rFonts w:eastAsia="方正仿宋_GBK"/>
          <w:sz w:val="32"/>
          <w:szCs w:val="32"/>
        </w:rPr>
      </w:pPr>
      <w:r>
        <w:rPr>
          <w:rFonts w:eastAsia="方正仿宋_GBK"/>
          <w:sz w:val="32"/>
          <w:szCs w:val="32"/>
        </w:rPr>
        <w:t>（一）财政拨款收入：指本年度从本级财政部门取得的财政拨款，包括一般公共预算财政拨款和政府性基金预算财政拨款。</w:t>
      </w:r>
    </w:p>
    <w:p>
      <w:pPr>
        <w:spacing w:line="600" w:lineRule="exact"/>
        <w:ind w:firstLine="518" w:firstLineChars="162"/>
        <w:rPr>
          <w:rFonts w:eastAsia="方正仿宋_GBK"/>
          <w:sz w:val="32"/>
          <w:szCs w:val="32"/>
        </w:rPr>
      </w:pPr>
      <w:r>
        <w:rPr>
          <w:rFonts w:eastAsia="方正仿宋_GBK"/>
          <w:sz w:val="32"/>
          <w:szCs w:val="32"/>
        </w:rPr>
        <w:t>（二）其他收入：指单位取得的除“财政拨款收入”、“事业收入”、“经营收入”等以外的收入。</w:t>
      </w:r>
    </w:p>
    <w:p>
      <w:pPr>
        <w:spacing w:line="600" w:lineRule="exact"/>
        <w:ind w:firstLine="518" w:firstLineChars="162"/>
        <w:rPr>
          <w:rFonts w:eastAsia="方正仿宋_GBK"/>
          <w:sz w:val="32"/>
          <w:szCs w:val="32"/>
        </w:rPr>
      </w:pPr>
      <w:r>
        <w:rPr>
          <w:rFonts w:eastAsia="方正仿宋_GBK"/>
          <w:sz w:val="32"/>
          <w:szCs w:val="32"/>
        </w:rPr>
        <w:t>（三）基本支出：指为保障机构正常运转、完成日常工作任务而发生的人员经费和公用经费。</w:t>
      </w:r>
    </w:p>
    <w:p>
      <w:pPr>
        <w:spacing w:line="600" w:lineRule="exact"/>
        <w:ind w:firstLine="518" w:firstLineChars="162"/>
        <w:rPr>
          <w:rFonts w:eastAsia="方正仿宋_GBK"/>
          <w:sz w:val="32"/>
          <w:szCs w:val="32"/>
        </w:rPr>
      </w:pPr>
      <w:r>
        <w:rPr>
          <w:rFonts w:eastAsia="方正仿宋_GBK"/>
          <w:sz w:val="32"/>
          <w:szCs w:val="32"/>
        </w:rPr>
        <w:t>（四）项目支出：指在基本支出之外为完成特定行政任务和事业发展目标所发生的支出。</w:t>
      </w:r>
    </w:p>
    <w:p>
      <w:pPr>
        <w:spacing w:line="600" w:lineRule="exact"/>
        <w:ind w:firstLine="518" w:firstLineChars="162"/>
        <w:rPr>
          <w:rFonts w:eastAsia="方正仿宋_GBK"/>
          <w:sz w:val="32"/>
          <w:szCs w:val="32"/>
        </w:rPr>
      </w:pPr>
      <w:r>
        <w:rPr>
          <w:rFonts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jc w:val="left"/>
        <w:rPr>
          <w:rFonts w:eastAsia="方正仿宋_GBK"/>
          <w:sz w:val="32"/>
          <w:szCs w:val="32"/>
        </w:rPr>
      </w:pPr>
      <w:r>
        <w:rPr>
          <w:rFonts w:eastAsia="方正仿宋_GBK"/>
          <w:sz w:val="32"/>
          <w:szCs w:val="32"/>
        </w:rPr>
        <w:br w:type="page"/>
      </w:r>
    </w:p>
    <w:p>
      <w:pPr>
        <w:spacing w:line="600" w:lineRule="exact"/>
        <w:ind w:firstLine="880" w:firstLineChars="200"/>
        <w:rPr>
          <w:rFonts w:eastAsia="方正小标宋_GBK"/>
          <w:sz w:val="44"/>
          <w:szCs w:val="44"/>
        </w:rPr>
      </w:pPr>
      <w:r>
        <w:rPr>
          <w:rFonts w:eastAsia="方正小标宋_GBK"/>
          <w:sz w:val="44"/>
          <w:szCs w:val="44"/>
        </w:rPr>
        <w:t>第二部分：2024年部门预算公开报表</w:t>
      </w:r>
    </w:p>
    <w:p>
      <w:pPr>
        <w:spacing w:line="600" w:lineRule="exact"/>
        <w:ind w:firstLine="640" w:firstLineChars="200"/>
        <w:rPr>
          <w:rFonts w:eastAsia="方正黑体_GBK"/>
          <w:sz w:val="32"/>
        </w:rPr>
      </w:pPr>
    </w:p>
    <w:p>
      <w:pPr>
        <w:spacing w:line="600" w:lineRule="exact"/>
        <w:ind w:firstLine="640" w:firstLineChars="200"/>
        <w:rPr>
          <w:rFonts w:eastAsia="方正黑体_GBK"/>
          <w:sz w:val="32"/>
        </w:rPr>
      </w:pPr>
      <w:r>
        <w:rPr>
          <w:rFonts w:eastAsia="方正黑体_GBK"/>
          <w:sz w:val="32"/>
        </w:rPr>
        <w:t>2024年部门预算公开报表（详见附表重庆市开州区实验中学2024年部门预算公开报表）</w:t>
      </w:r>
    </w:p>
    <w:p>
      <w:pPr>
        <w:spacing w:line="600" w:lineRule="exact"/>
        <w:rPr>
          <w:rFonts w:eastAsia="方正仿宋_GBK"/>
          <w:sz w:val="32"/>
          <w:szCs w:val="32"/>
        </w:rPr>
      </w:pPr>
      <w:r>
        <w:rPr>
          <w:rFonts w:eastAsia="方正仿宋_GBK"/>
          <w:b/>
          <w:sz w:val="32"/>
        </w:rPr>
        <w:t>部门预算公开联系人：王文洲    联系方式：023-52262169</w:t>
      </w:r>
    </w:p>
    <w:p>
      <w:r>
        <w:t xml:space="preserve">   </w:t>
      </w:r>
    </w:p>
    <w:p/>
    <w:p/>
    <w:p/>
    <w:p/>
    <w:p/>
    <w:p/>
    <w:p/>
    <w:p/>
    <w:p/>
    <w:p/>
    <w:p/>
    <w:p/>
    <w:p/>
    <w:p>
      <w:pPr>
        <w:spacing w:line="600" w:lineRule="exact"/>
        <w:ind w:firstLine="518" w:firstLineChars="162"/>
        <w:jc w:val="right"/>
        <w:rPr>
          <w:rFonts w:eastAsia="方正仿宋_GBK"/>
          <w:sz w:val="32"/>
          <w:szCs w:val="32"/>
        </w:rPr>
      </w:pPr>
      <w:r>
        <w:rPr>
          <w:rFonts w:eastAsia="方正仿宋_GBK"/>
          <w:sz w:val="32"/>
          <w:szCs w:val="32"/>
        </w:rPr>
        <w:t>重庆市开州区实验中学</w:t>
      </w:r>
    </w:p>
    <w:p>
      <w:pPr>
        <w:spacing w:line="600" w:lineRule="exact"/>
        <w:ind w:firstLine="518" w:firstLineChars="162"/>
        <w:jc w:val="right"/>
        <w:rPr>
          <w:rFonts w:eastAsia="方正仿宋_GBK"/>
          <w:sz w:val="32"/>
          <w:szCs w:val="32"/>
        </w:rPr>
      </w:pPr>
      <w:r>
        <w:rPr>
          <w:rFonts w:eastAsia="方正仿宋_GBK"/>
          <w:sz w:val="32"/>
          <w:szCs w:val="32"/>
        </w:rPr>
        <w:t>2024年3月21日</w:t>
      </w:r>
    </w:p>
    <w:p>
      <w:pPr>
        <w:ind w:firstLine="4800" w:firstLineChars="1500"/>
        <w:rPr>
          <w:rFonts w:eastAsia="方正黑体_GBK"/>
          <w:sz w:val="32"/>
        </w:rPr>
      </w:pPr>
    </w:p>
    <w:p>
      <w:pPr>
        <w:ind w:firstLine="4800" w:firstLineChars="1500"/>
        <w:rPr>
          <w:rFonts w:eastAsia="方正黑体_GBK"/>
          <w:sz w:val="32"/>
        </w:rPr>
      </w:pPr>
    </w:p>
    <w:p>
      <w:pPr>
        <w:ind w:firstLine="4800" w:firstLineChars="1500"/>
        <w:rPr>
          <w:rFonts w:eastAsia="方正黑体_GBK"/>
          <w:sz w:val="32"/>
        </w:rPr>
      </w:pPr>
    </w:p>
    <w:p>
      <w:pPr>
        <w:rPr>
          <w:rFonts w:eastAsia="方正黑体_GBK"/>
          <w:sz w:val="32"/>
        </w:rPr>
      </w:pPr>
    </w:p>
    <w:p>
      <w:pPr>
        <w:rPr>
          <w:rFonts w:eastAsia="方正黑体_GBK"/>
          <w:sz w:val="32"/>
        </w:rPr>
      </w:pPr>
    </w:p>
    <w:p>
      <w:pPr>
        <w:rPr>
          <w:rFonts w:eastAsia="方正黑体_GBK"/>
          <w:sz w:val="32"/>
        </w:rPr>
      </w:pPr>
    </w:p>
    <w:p>
      <w:pPr>
        <w:rPr>
          <w:rFonts w:eastAsia="方正黑体_GBK"/>
          <w:sz w:val="32"/>
        </w:rPr>
      </w:pPr>
    </w:p>
    <w:p>
      <w:pPr>
        <w:widowControl/>
        <w:spacing w:line="600" w:lineRule="exact"/>
        <w:rPr>
          <w:rFonts w:eastAsia="方正仿宋_GBK"/>
          <w:sz w:val="28"/>
          <w:szCs w:val="28"/>
        </w:rPr>
      </w:pPr>
      <w:r>
        <w:rPr>
          <w:rFonts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361315</wp:posOffset>
                </wp:positionV>
                <wp:extent cx="5777865" cy="0"/>
                <wp:effectExtent l="38100" t="38100" r="51435" b="95250"/>
                <wp:wrapNone/>
                <wp:docPr id="2" name="直接连接符 2"/>
                <wp:cNvGraphicFramePr/>
                <a:graphic xmlns:a="http://schemas.openxmlformats.org/drawingml/2006/main">
                  <a:graphicData uri="http://schemas.microsoft.com/office/word/2010/wordprocessingShape">
                    <wps:wsp>
                      <wps:cNvCnPr/>
                      <wps:spPr>
                        <a:xfrm>
                          <a:off x="0" y="0"/>
                          <a:ext cx="5777865" cy="0"/>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margin-left:1.8pt;margin-top:28.45pt;height:0pt;width:454.95pt;z-index:251660288;mso-width-relative:page;mso-height-relative:page;" filled="f" stroked="t" coordsize="21600,21600" o:gfxdata="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t0L39QAAAAHAQAADwAAAAAAAAABACAAAAAiAAAAZHJzL2Rvd25yZXYueG1sUEsB&#10;AhQAFAAAAAgAh07iQLArUT0yAgAAWgQAAA4AAAAAAAAAAQAgAAAAIwEAAGRycy9lMm9Eb2MueG1s&#10;UEsFBgAAAAAGAAYAWQEAAMcFAAAAAA==&#10;">
                <v:fill on="f" focussize="0,0"/>
                <v:stroke weight="0.25pt" color="#000000" joinstyle="round"/>
                <v:imagedata o:title=""/>
                <o:lock v:ext="edit" aspectratio="f"/>
                <v:shadow on="t" color="#000000" opacity="24903f" offset="0pt,1.5748031496063pt" origin="0f,32768f" matrix="65536f,0f,0f,65536f"/>
              </v:line>
            </w:pict>
          </mc:Fallback>
        </mc:AlternateContent>
      </w:r>
      <w:r>
        <w:rPr>
          <w:rFonts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31115</wp:posOffset>
                </wp:positionV>
                <wp:extent cx="5777865" cy="0"/>
                <wp:effectExtent l="38100" t="38100" r="51435" b="95250"/>
                <wp:wrapNone/>
                <wp:docPr id="1" name="直接连接符 1"/>
                <wp:cNvGraphicFramePr/>
                <a:graphic xmlns:a="http://schemas.openxmlformats.org/drawingml/2006/main">
                  <a:graphicData uri="http://schemas.microsoft.com/office/word/2010/wordprocessingShape">
                    <wps:wsp>
                      <wps:cNvCnPr/>
                      <wps:spPr>
                        <a:xfrm>
                          <a:off x="0" y="0"/>
                          <a:ext cx="577786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1.95pt;margin-top:2.45pt;height:0pt;width:454.95pt;z-index:251659264;mso-width-relative:page;mso-height-relative:page;" filled="f" stroked="t" coordsize="21600,21600" o:gfxdata="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wLz3l1AAAAAYB&#10;AAAPAAAAAAAAAAEAIAAAACIAAABkcnMvZG93bnJldi54bWxQSwECFAAUAAAACACHTuJAHv2hkx8C&#10;AABGBAAADgAAAAAAAAABACAAAAAjAQAAZHJzL2Uyb0RvYy54bWxQSwUGAAAAAAYABgBZAQAAtAUA&#10;AAAA&#10;">
                <v:fill on="f" focussize="0,0"/>
                <v:stroke weight="0.25pt" color="#000000 [3200]" joinstyle="round"/>
                <v:imagedata o:title=""/>
                <o:lock v:ext="edit" aspectratio="f"/>
                <v:shadow on="t" color="#000000" opacity="24903f" offset="0pt,1.5748031496063pt" origin="0f,32768f" matrix="65536f,0f,0f,65536f"/>
              </v:line>
            </w:pict>
          </mc:Fallback>
        </mc:AlternateContent>
      </w:r>
      <w:r>
        <w:rPr>
          <w:rFonts w:eastAsia="方正仿宋_GBK"/>
          <w:sz w:val="28"/>
          <w:szCs w:val="28"/>
        </w:rPr>
        <w:t xml:space="preserve">重庆市开州区实验中学                       2024年3月21日印发 </w:t>
      </w:r>
    </w:p>
    <w:sectPr>
      <w:footerReference r:id="rId3" w:type="default"/>
      <w:pgSz w:w="11906" w:h="16838"/>
      <w:pgMar w:top="1418" w:right="1418"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C8D547-7098-498C-93EC-E3578F292E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6EB8CEC-E303-4E76-B6DF-9102A6DC47A9}"/>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embedRegular r:id="rId3" w:fontKey="{3441E1A0-476E-4296-9CFF-4E9306EFBE5D}"/>
  </w:font>
  <w:font w:name="方正小标宋简体">
    <w:panose1 w:val="03000509000000000000"/>
    <w:charset w:val="86"/>
    <w:family w:val="script"/>
    <w:pitch w:val="default"/>
    <w:sig w:usb0="00000001" w:usb1="080E0000" w:usb2="00000000" w:usb3="00000000" w:csb0="00040000" w:csb1="00000000"/>
    <w:embedRegular r:id="rId4" w:fontKey="{4076AABD-A3D7-4917-B2BA-86D46C9B983F}"/>
  </w:font>
  <w:font w:name="方正仿宋_GBK">
    <w:panose1 w:val="03000509000000000000"/>
    <w:charset w:val="86"/>
    <w:family w:val="script"/>
    <w:pitch w:val="default"/>
    <w:sig w:usb0="00000001" w:usb1="080E0000" w:usb2="00000000" w:usb3="00000000" w:csb0="00040000" w:csb1="00000000"/>
    <w:embedRegular r:id="rId5" w:fontKey="{35E775DF-4FEA-44DA-9C37-99011D24F4BE}"/>
  </w:font>
  <w:font w:name="方正楷体_GBK">
    <w:panose1 w:val="03000509000000000000"/>
    <w:charset w:val="86"/>
    <w:family w:val="script"/>
    <w:pitch w:val="default"/>
    <w:sig w:usb0="00000001" w:usb1="080E0000" w:usb2="00000000" w:usb3="00000000" w:csb0="00040000" w:csb1="00000000"/>
    <w:embedRegular r:id="rId6" w:fontKey="{30D2C03D-EBD4-49E1-8590-85FAF118DF8B}"/>
  </w:font>
  <w:font w:name="方正小标宋_GBK">
    <w:panose1 w:val="03000509000000000000"/>
    <w:charset w:val="86"/>
    <w:family w:val="script"/>
    <w:pitch w:val="default"/>
    <w:sig w:usb0="00000001" w:usb1="080E0000" w:usb2="00000000" w:usb3="00000000" w:csb0="00040000" w:csb1="00000000"/>
    <w:embedRegular r:id="rId7" w:fontKey="{175C6338-EFBD-46EF-81E3-ED31464CC3D2}"/>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6969915"/>
      <w:docPartObj>
        <w:docPartGallery w:val="autotext"/>
      </w:docPartObj>
    </w:sdtPr>
    <w:sdtEndPr>
      <w:rPr>
        <w:sz w:val="28"/>
        <w:szCs w:val="28"/>
      </w:rPr>
    </w:sdtEndPr>
    <w:sdtContent>
      <w:p>
        <w:pPr>
          <w:pStyle w:val="4"/>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5 -</w:t>
        </w:r>
        <w:r>
          <w:rPr>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s>
  <w:rsids>
    <w:rsidRoot w:val="007164DD"/>
    <w:rsid w:val="00020CD0"/>
    <w:rsid w:val="00104BB4"/>
    <w:rsid w:val="0040659A"/>
    <w:rsid w:val="00444BDC"/>
    <w:rsid w:val="005E2C0A"/>
    <w:rsid w:val="005E60F1"/>
    <w:rsid w:val="00605A41"/>
    <w:rsid w:val="006A66C4"/>
    <w:rsid w:val="006C32E3"/>
    <w:rsid w:val="006C52ED"/>
    <w:rsid w:val="006F65D6"/>
    <w:rsid w:val="007164DD"/>
    <w:rsid w:val="00793ED8"/>
    <w:rsid w:val="008462F5"/>
    <w:rsid w:val="00893610"/>
    <w:rsid w:val="008F247A"/>
    <w:rsid w:val="008F3F65"/>
    <w:rsid w:val="009664ED"/>
    <w:rsid w:val="00A20D21"/>
    <w:rsid w:val="00A5253B"/>
    <w:rsid w:val="00AB5081"/>
    <w:rsid w:val="00BC6022"/>
    <w:rsid w:val="00CA10F0"/>
    <w:rsid w:val="00DE6204"/>
    <w:rsid w:val="00E126DA"/>
    <w:rsid w:val="00E5606A"/>
    <w:rsid w:val="00E92F36"/>
    <w:rsid w:val="00F07CA4"/>
    <w:rsid w:val="00F93DE6"/>
    <w:rsid w:val="058058AC"/>
    <w:rsid w:val="2A447724"/>
    <w:rsid w:val="2BBF5B5A"/>
    <w:rsid w:val="678E42C3"/>
    <w:rsid w:val="6ADC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2"/>
    <w:uiPriority w:val="0"/>
    <w:pPr>
      <w:ind w:firstLine="640" w:firstLineChars="200"/>
    </w:pPr>
    <w:rPr>
      <w:rFonts w:ascii="仿宋_GB2312" w:eastAsia="仿宋_GB2312"/>
      <w:sz w:val="32"/>
    </w:rPr>
  </w:style>
  <w:style w:type="paragraph" w:styleId="3">
    <w:name w:val="Date"/>
    <w:basedOn w:val="1"/>
    <w:next w:val="1"/>
    <w:link w:val="14"/>
    <w:autoRedefine/>
    <w:semiHidden/>
    <w:unhideWhenUsed/>
    <w:qFormat/>
    <w:uiPriority w:val="99"/>
    <w:pPr>
      <w:ind w:left="100" w:leftChars="2500"/>
    </w:pPr>
  </w:style>
  <w:style w:type="paragraph" w:styleId="4">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9">
    <w:name w:val="页眉 Char"/>
    <w:basedOn w:val="7"/>
    <w:link w:val="5"/>
    <w:autoRedefine/>
    <w:qFormat/>
    <w:uiPriority w:val="99"/>
    <w:rPr>
      <w:sz w:val="18"/>
      <w:szCs w:val="18"/>
    </w:rPr>
  </w:style>
  <w:style w:type="character" w:customStyle="1" w:styleId="10">
    <w:name w:val="页脚 Char"/>
    <w:basedOn w:val="7"/>
    <w:link w:val="4"/>
    <w:autoRedefine/>
    <w:qFormat/>
    <w:uiPriority w:val="99"/>
    <w:rPr>
      <w:sz w:val="18"/>
      <w:szCs w:val="18"/>
    </w:rPr>
  </w:style>
  <w:style w:type="character" w:customStyle="1" w:styleId="11">
    <w:name w:val="正文文本缩进 Char"/>
    <w:basedOn w:val="7"/>
    <w:autoRedefine/>
    <w:semiHidden/>
    <w:qFormat/>
    <w:uiPriority w:val="99"/>
    <w:rPr>
      <w:rFonts w:ascii="Times New Roman" w:hAnsi="Times New Roman" w:eastAsia="宋体" w:cs="Times New Roman"/>
      <w:szCs w:val="24"/>
    </w:rPr>
  </w:style>
  <w:style w:type="character" w:customStyle="1" w:styleId="12">
    <w:name w:val="正文文本缩进 Char1"/>
    <w:link w:val="2"/>
    <w:autoRedefine/>
    <w:qFormat/>
    <w:uiPriority w:val="0"/>
    <w:rPr>
      <w:rFonts w:ascii="仿宋_GB2312" w:hAnsi="Times New Roman" w:eastAsia="仿宋_GB2312" w:cs="Times New Roman"/>
      <w:sz w:val="32"/>
      <w:szCs w:val="24"/>
    </w:rPr>
  </w:style>
  <w:style w:type="paragraph" w:customStyle="1" w:styleId="13">
    <w:name w:val="_Style 11"/>
    <w:basedOn w:val="1"/>
    <w:next w:val="8"/>
    <w:autoRedefine/>
    <w:qFormat/>
    <w:uiPriority w:val="34"/>
    <w:pPr>
      <w:ind w:firstLine="420" w:firstLineChars="200"/>
    </w:pPr>
    <w:rPr>
      <w:rFonts w:ascii="Calibri" w:hAnsi="Calibri"/>
      <w:szCs w:val="22"/>
    </w:rPr>
  </w:style>
  <w:style w:type="character" w:customStyle="1" w:styleId="14">
    <w:name w:val="日期 Char"/>
    <w:basedOn w:val="7"/>
    <w:link w:val="3"/>
    <w:autoRedefine/>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488</Words>
  <Characters>2782</Characters>
  <Lines>23</Lines>
  <Paragraphs>6</Paragraphs>
  <TotalTime>51</TotalTime>
  <ScaleCrop>false</ScaleCrop>
  <LinksUpToDate>false</LinksUpToDate>
  <CharactersWithSpaces>3264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2024-03-05T03:18:00Z</dcterms:created>
  <dc:creator>PC</dc:creator>
  <cp:lastModifiedBy>Administrator</cp:lastModifiedBy>
  <dcterms:modified xsi:type="dcterms:W3CDTF">2024-03-29T01:57:08Z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397B2A22BBD342ACB632ABDC5D38EA36_12</vt:lpwstr>
  </property>
</Properties>
</file>