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b/>
          <w:color w:val="FF0000"/>
          <w:w w:val="30"/>
          <w:sz w:val="170"/>
          <w:szCs w:val="170"/>
        </w:rPr>
      </w:pPr>
      <w:bookmarkStart w:id="0" w:name="_GoBack"/>
      <w:bookmarkEnd w:id="0"/>
      <w:r>
        <w:rPr>
          <w:rFonts w:hint="default" w:ascii="Times New Roman" w:hAnsi="Times New Roman" w:eastAsia="方正小标宋_GBK" w:cs="Times New Roman"/>
          <w:b/>
          <w:color w:val="FF0000"/>
          <w:w w:val="30"/>
          <w:sz w:val="170"/>
          <w:szCs w:val="170"/>
        </w:rPr>
        <w:t>重庆市开州区大进镇中心卫生院文件</w:t>
      </w:r>
    </w:p>
    <w:p>
      <w:pPr>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rPr>
        <w:t>开州</w:t>
      </w:r>
      <w:r>
        <w:rPr>
          <w:rFonts w:hint="default" w:ascii="Times New Roman" w:hAnsi="Times New Roman" w:eastAsia="方正仿宋_GBK" w:cs="Times New Roman"/>
          <w:sz w:val="32"/>
          <w:lang w:val="en-US" w:eastAsia="zh-CN"/>
        </w:rPr>
        <w:t>大卫文</w:t>
      </w:r>
      <w:r>
        <w:rPr>
          <w:rFonts w:hint="default" w:ascii="Times New Roman" w:hAnsi="Times New Roman" w:eastAsia="方正仿宋_GBK" w:cs="Times New Roman"/>
          <w:color w:val="000000"/>
          <w:sz w:val="32"/>
          <w:szCs w:val="32"/>
        </w:rPr>
        <w:t>〔2024〕</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rPr>
        <w:t>号</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签发人：</w:t>
      </w:r>
      <w:r>
        <w:rPr>
          <w:rFonts w:hint="default" w:ascii="Times New Roman" w:hAnsi="Times New Roman" w:eastAsia="方正楷体_GBK" w:cs="Times New Roman"/>
          <w:sz w:val="32"/>
          <w:szCs w:val="32"/>
        </w:rPr>
        <w:t>凌发举</w:t>
      </w:r>
    </w:p>
    <w:p>
      <w:pPr>
        <w:spacing w:line="40" w:lineRule="exact"/>
        <w:jc w:val="center"/>
        <w:rPr>
          <w:rFonts w:hint="default" w:ascii="Times New Roman" w:hAnsi="Times New Roman" w:eastAsia="仿宋_GB2312" w:cs="Times New Roman"/>
          <w:sz w:val="32"/>
          <w:szCs w:val="32"/>
        </w:rPr>
      </w:pPr>
    </w:p>
    <w:p>
      <w:pPr>
        <w:spacing w:line="40" w:lineRule="exact"/>
        <w:jc w:val="center"/>
        <w:rPr>
          <w:rFonts w:hint="default" w:ascii="Times New Roman" w:hAnsi="Times New Roman" w:eastAsia="仿宋_GB2312" w:cs="Times New Roman"/>
          <w:sz w:val="32"/>
          <w:szCs w:val="32"/>
        </w:rPr>
      </w:pPr>
    </w:p>
    <w:tbl>
      <w:tblPr>
        <w:tblStyle w:val="8"/>
        <w:tblW w:w="0" w:type="auto"/>
        <w:jc w:val="center"/>
        <w:tblBorders>
          <w:top w:val="single" w:color="FF0000" w:sz="24" w:space="0"/>
          <w:left w:val="none" w:color="auto" w:sz="0" w:space="0"/>
          <w:bottom w:val="none" w:color="auto" w:sz="0" w:space="0"/>
          <w:right w:val="none" w:color="auto" w:sz="0" w:space="0"/>
          <w:insideH w:val="single" w:color="FF0000" w:sz="18" w:space="0"/>
          <w:insideV w:val="single" w:color="FF0000" w:sz="18" w:space="0"/>
        </w:tblBorders>
        <w:tblLayout w:type="autofit"/>
        <w:tblCellMar>
          <w:top w:w="0" w:type="dxa"/>
          <w:left w:w="108" w:type="dxa"/>
          <w:bottom w:w="0" w:type="dxa"/>
          <w:right w:w="108" w:type="dxa"/>
        </w:tblCellMar>
      </w:tblPr>
      <w:tblGrid>
        <w:gridCol w:w="8522"/>
      </w:tblGrid>
      <w:tr>
        <w:tblPrEx>
          <w:tblBorders>
            <w:top w:val="single" w:color="FF0000" w:sz="24" w:space="0"/>
            <w:left w:val="none" w:color="auto" w:sz="0" w:space="0"/>
            <w:bottom w:val="none" w:color="auto" w:sz="0" w:space="0"/>
            <w:right w:val="none" w:color="auto" w:sz="0" w:space="0"/>
            <w:insideH w:val="single" w:color="FF0000" w:sz="18" w:space="0"/>
            <w:insideV w:val="single" w:color="FF0000" w:sz="18" w:space="0"/>
          </w:tblBorders>
          <w:tblCellMar>
            <w:top w:w="0" w:type="dxa"/>
            <w:left w:w="108" w:type="dxa"/>
            <w:bottom w:w="0" w:type="dxa"/>
            <w:right w:w="108" w:type="dxa"/>
          </w:tblCellMar>
        </w:tblPrEx>
        <w:trPr>
          <w:jc w:val="center"/>
        </w:trPr>
        <w:tc>
          <w:tcPr>
            <w:tcW w:w="8522" w:type="dxa"/>
            <w:tcBorders>
              <w:top w:val="single" w:color="FF0000" w:sz="24" w:space="0"/>
              <w:left w:val="nil"/>
              <w:bottom w:val="nil"/>
              <w:right w:val="nil"/>
            </w:tcBorders>
          </w:tcPr>
          <w:p>
            <w:pPr>
              <w:spacing w:line="600" w:lineRule="exact"/>
              <w:rPr>
                <w:rFonts w:hint="default" w:ascii="Times New Roman" w:hAnsi="Times New Roman" w:eastAsia="方正仿宋_GBK" w:cs="Times New Roman"/>
                <w:sz w:val="32"/>
                <w:szCs w:val="32"/>
              </w:rPr>
            </w:pPr>
          </w:p>
        </w:tc>
      </w:tr>
    </w:tbl>
    <w:p>
      <w:pPr>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重庆市开州区</w:t>
      </w:r>
      <w:r>
        <w:rPr>
          <w:rFonts w:hint="default" w:ascii="Times New Roman" w:hAnsi="Times New Roman" w:eastAsia="方正小标宋_GBK" w:cs="Times New Roman"/>
          <w:color w:val="000000"/>
          <w:sz w:val="44"/>
          <w:szCs w:val="44"/>
          <w:lang w:eastAsia="zh-CN"/>
        </w:rPr>
        <w:t>大进镇中心卫生院</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关于2024年部门预算情况公开的公告</w:t>
      </w:r>
    </w:p>
    <w:p>
      <w:pPr>
        <w:spacing w:line="600" w:lineRule="exact"/>
        <w:ind w:firstLine="640" w:firstLineChars="200"/>
        <w:jc w:val="center"/>
        <w:rPr>
          <w:rFonts w:hint="default" w:ascii="Times New Roman" w:hAnsi="Times New Roman" w:eastAsia="方正仿宋_GBK" w:cs="Times New Roman"/>
          <w:b/>
          <w:bCs/>
          <w:sz w:val="32"/>
          <w:szCs w:val="32"/>
          <w:lang w:eastAsia="zh-CN"/>
        </w:rPr>
      </w:pPr>
    </w:p>
    <w:p>
      <w:pPr>
        <w:spacing w:line="60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按照有关财政预算公开的部署和要求，依据《中华人民共和国政府信息公开条例》（国务院令第</w:t>
      </w:r>
      <w:r>
        <w:rPr>
          <w:rFonts w:hint="default" w:ascii="Times New Roman" w:hAnsi="Times New Roman" w:eastAsia="方正仿宋_GBK" w:cs="Times New Roman"/>
          <w:sz w:val="32"/>
          <w:szCs w:val="32"/>
          <w:lang w:val="en-US" w:eastAsia="zh-CN"/>
        </w:rPr>
        <w:t>492号</w:t>
      </w:r>
      <w:r>
        <w:rPr>
          <w:rFonts w:hint="default" w:ascii="Times New Roman" w:hAnsi="Times New Roman" w:eastAsia="方正仿宋_GBK" w:cs="Times New Roman"/>
          <w:sz w:val="32"/>
          <w:szCs w:val="32"/>
          <w:lang w:eastAsia="zh-CN"/>
        </w:rPr>
        <w:t>）和重庆市开州区卫生健康委员会《关于转下达2024年各单位预算批复的通知》（开州卫发</w:t>
      </w:r>
      <w:r>
        <w:rPr>
          <w:rFonts w:hint="default" w:ascii="Times New Roman" w:hAnsi="Times New Roman" w:eastAsia="方正仿宋_GBK" w:cs="Times New Roman"/>
          <w:sz w:val="32"/>
          <w:szCs w:val="32"/>
        </w:rPr>
        <w:t>〔2024〕</w:t>
      </w:r>
      <w:r>
        <w:rPr>
          <w:rFonts w:hint="default" w:ascii="Times New Roman" w:hAnsi="Times New Roman" w:eastAsia="方正仿宋_GBK" w:cs="Times New Roman"/>
          <w:sz w:val="32"/>
          <w:szCs w:val="32"/>
          <w:lang w:val="en-US" w:eastAsia="zh-CN"/>
        </w:rPr>
        <w:t>12号</w:t>
      </w:r>
      <w:r>
        <w:rPr>
          <w:rFonts w:hint="default" w:ascii="Times New Roman" w:hAnsi="Times New Roman" w:eastAsia="方正仿宋_GBK" w:cs="Times New Roman"/>
          <w:sz w:val="32"/>
          <w:szCs w:val="32"/>
          <w:lang w:eastAsia="zh-CN"/>
        </w:rPr>
        <w:t>），现将重庆市开州区</w:t>
      </w:r>
      <w:r>
        <w:rPr>
          <w:rFonts w:hint="default" w:ascii="Times New Roman" w:hAnsi="Times New Roman" w:eastAsia="方正仿宋_GBK" w:cs="Times New Roman"/>
          <w:sz w:val="32"/>
          <w:szCs w:val="32"/>
          <w:lang w:val="en-US" w:eastAsia="zh-CN"/>
        </w:rPr>
        <w:t>大进镇中心卫生院2024年部门预算批复情况公开如下：</w:t>
      </w:r>
    </w:p>
    <w:p>
      <w:pPr>
        <w:pStyle w:val="4"/>
        <w:jc w:val="center"/>
        <w:rPr>
          <w:rFonts w:hint="default" w:ascii="Times New Roman" w:hAnsi="Times New Roman" w:eastAsia="方正仿宋_GBK" w:cs="Times New Roman"/>
          <w:b/>
          <w:bCs/>
          <w:sz w:val="32"/>
          <w:szCs w:val="32"/>
          <w:lang w:val="en-US" w:eastAsia="zh-CN"/>
        </w:rPr>
      </w:pPr>
    </w:p>
    <w:p>
      <w:pPr>
        <w:pStyle w:val="4"/>
        <w:jc w:val="center"/>
        <w:rPr>
          <w:rFonts w:hint="default" w:ascii="Times New Roman" w:hAnsi="Times New Roman" w:eastAsia="方正仿宋_GBK" w:cs="Times New Roman"/>
          <w:b/>
          <w:bCs/>
          <w:sz w:val="32"/>
          <w:szCs w:val="32"/>
          <w:lang w:val="en-US" w:eastAsia="zh-CN"/>
        </w:rPr>
      </w:pPr>
    </w:p>
    <w:p>
      <w:pPr>
        <w:pStyle w:val="5"/>
        <w:rPr>
          <w:rFonts w:hint="default" w:ascii="Times New Roman" w:hAnsi="Times New Roman" w:eastAsia="方正仿宋_GBK" w:cs="Times New Roman"/>
          <w:b/>
          <w:bCs/>
          <w:sz w:val="32"/>
          <w:szCs w:val="32"/>
          <w:lang w:val="en-US" w:eastAsia="zh-CN"/>
        </w:rPr>
      </w:pPr>
    </w:p>
    <w:p>
      <w:pPr>
        <w:rPr>
          <w:rFonts w:hint="default" w:ascii="Times New Roman" w:hAnsi="Times New Roman" w:cs="Times New Roman"/>
          <w:lang w:val="en-US" w:eastAsia="zh-CN"/>
        </w:rPr>
      </w:pPr>
    </w:p>
    <w:p>
      <w:pPr>
        <w:pStyle w:val="4"/>
        <w:jc w:val="center"/>
        <w:rPr>
          <w:rFonts w:hint="default" w:ascii="Times New Roman" w:hAnsi="Times New Roman" w:eastAsia="方正仿宋_GBK" w:cs="Times New Roman"/>
          <w:b/>
          <w:bCs/>
          <w:sz w:val="32"/>
          <w:szCs w:val="32"/>
          <w:lang w:val="en-US" w:eastAsia="zh-CN"/>
        </w:rPr>
      </w:pPr>
    </w:p>
    <w:p>
      <w:pPr>
        <w:pStyle w:val="4"/>
        <w:jc w:val="center"/>
        <w:rPr>
          <w:rFonts w:hint="default" w:ascii="Times New Roman" w:hAnsi="Times New Roman" w:eastAsia="方正仿宋_GBK" w:cs="Times New Roman"/>
          <w:b/>
          <w:bCs/>
          <w:sz w:val="32"/>
          <w:szCs w:val="32"/>
          <w:lang w:val="en-US" w:eastAsia="zh-CN"/>
        </w:rPr>
      </w:pPr>
    </w:p>
    <w:p>
      <w:pPr>
        <w:pStyle w:val="4"/>
        <w:jc w:val="center"/>
        <w:rPr>
          <w:rFonts w:hint="default" w:ascii="Times New Roman" w:hAnsi="Times New Roman" w:eastAsia="方正仿宋_GBK" w:cs="Times New Roman"/>
          <w:b/>
          <w:bCs/>
          <w:sz w:val="32"/>
          <w:szCs w:val="32"/>
          <w:lang w:val="en-US" w:eastAsia="zh-CN"/>
        </w:rPr>
      </w:pPr>
    </w:p>
    <w:p>
      <w:pPr>
        <w:pStyle w:val="4"/>
        <w:jc w:val="center"/>
        <w:rPr>
          <w:rFonts w:hint="default" w:ascii="Times New Roman" w:hAnsi="Times New Roman" w:eastAsia="方正仿宋_GBK" w:cs="Times New Roman"/>
          <w:b/>
          <w:bCs/>
          <w:sz w:val="32"/>
          <w:szCs w:val="32"/>
          <w:lang w:val="en-US" w:eastAsia="zh-CN"/>
        </w:rPr>
      </w:pPr>
    </w:p>
    <w:p>
      <w:pPr>
        <w:pStyle w:val="4"/>
        <w:jc w:val="center"/>
        <w:rPr>
          <w:rFonts w:hint="default" w:ascii="Times New Roman" w:hAnsi="Times New Roman" w:eastAsia="方正仿宋_GBK" w:cs="Times New Roman"/>
          <w:b/>
          <w:bCs/>
          <w:sz w:val="32"/>
          <w:szCs w:val="32"/>
          <w:lang w:val="en-US" w:eastAsia="zh-CN"/>
        </w:r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rPr>
          <w:rFonts w:hint="default" w:ascii="Times New Roman" w:hAnsi="Times New Roman" w:cs="Times New Roman"/>
        </w:rPr>
      </w:pPr>
    </w:p>
    <w:p>
      <w:pPr>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第一部分：2024年部门预算情况说明</w:t>
      </w:r>
    </w:p>
    <w:p>
      <w:pPr>
        <w:rPr>
          <w:rFonts w:hint="default" w:ascii="Times New Roman" w:hAnsi="Times New Roman" w:cs="Times New Roman"/>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pStyle w:val="7"/>
        <w:rPr>
          <w:rFonts w:hint="default" w:ascii="Times New Roman" w:hAnsi="Times New Roman" w:cs="Times New Roman"/>
        </w:rPr>
      </w:pPr>
    </w:p>
    <w:p>
      <w:pPr>
        <w:jc w:val="center"/>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第二部分：2024年部门预算公开报表</w:t>
      </w:r>
    </w:p>
    <w:p>
      <w:pPr>
        <w:pStyle w:val="7"/>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重庆市开州区大进镇中心卫生</w:t>
      </w:r>
      <w:r>
        <w:rPr>
          <w:rFonts w:hint="default" w:ascii="Times New Roman" w:hAnsi="Times New Roman" w:eastAsia="方正仿宋_GBK" w:cs="Times New Roman"/>
          <w:sz w:val="32"/>
          <w:szCs w:val="32"/>
          <w:lang w:val="en-US" w:eastAsia="zh-CN"/>
        </w:rPr>
        <w:t>院</w:t>
      </w:r>
      <w:r>
        <w:rPr>
          <w:rFonts w:hint="default" w:ascii="Times New Roman" w:hAnsi="Times New Roman" w:eastAsia="方正仿宋_GBK" w:cs="Times New Roman"/>
          <w:sz w:val="32"/>
          <w:szCs w:val="32"/>
        </w:rPr>
        <w:t>收支预算总表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重庆市开州区大进镇中心卫生</w:t>
      </w:r>
      <w:r>
        <w:rPr>
          <w:rFonts w:hint="default" w:ascii="Times New Roman" w:hAnsi="Times New Roman" w:eastAsia="方正仿宋_GBK" w:cs="Times New Roman"/>
          <w:sz w:val="32"/>
          <w:szCs w:val="32"/>
          <w:lang w:val="en-US" w:eastAsia="zh-CN"/>
        </w:rPr>
        <w:t>院</w:t>
      </w:r>
      <w:r>
        <w:rPr>
          <w:rFonts w:hint="default" w:ascii="Times New Roman" w:hAnsi="Times New Roman" w:eastAsia="方正仿宋_GBK" w:cs="Times New Roman"/>
          <w:sz w:val="32"/>
          <w:szCs w:val="32"/>
        </w:rPr>
        <w:t>收入总表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重庆市开州区大进镇中心卫生</w:t>
      </w:r>
      <w:r>
        <w:rPr>
          <w:rFonts w:hint="default" w:ascii="Times New Roman" w:hAnsi="Times New Roman" w:eastAsia="方正仿宋_GBK" w:cs="Times New Roman"/>
          <w:sz w:val="32"/>
          <w:szCs w:val="32"/>
          <w:lang w:val="en-US" w:eastAsia="zh-CN"/>
        </w:rPr>
        <w:t>院</w:t>
      </w:r>
      <w:r>
        <w:rPr>
          <w:rFonts w:hint="default" w:ascii="Times New Roman" w:hAnsi="Times New Roman" w:eastAsia="方正仿宋_GBK" w:cs="Times New Roman"/>
          <w:sz w:val="32"/>
          <w:szCs w:val="32"/>
        </w:rPr>
        <w:t>本年支出预算总表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重庆市开州区大进镇中心卫生</w:t>
      </w:r>
      <w:r>
        <w:rPr>
          <w:rFonts w:hint="default" w:ascii="Times New Roman" w:hAnsi="Times New Roman" w:eastAsia="方正仿宋_GBK" w:cs="Times New Roman"/>
          <w:sz w:val="32"/>
          <w:szCs w:val="32"/>
          <w:lang w:val="en-US" w:eastAsia="zh-CN"/>
        </w:rPr>
        <w:t>院</w:t>
      </w:r>
      <w:r>
        <w:rPr>
          <w:rFonts w:hint="default" w:ascii="Times New Roman" w:hAnsi="Times New Roman" w:eastAsia="方正仿宋_GBK" w:cs="Times New Roman"/>
          <w:sz w:val="32"/>
          <w:szCs w:val="32"/>
        </w:rPr>
        <w:t>财政拨款收支预算总表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重庆市开州区大进镇中心卫生</w:t>
      </w:r>
      <w:r>
        <w:rPr>
          <w:rFonts w:hint="default" w:ascii="Times New Roman" w:hAnsi="Times New Roman" w:eastAsia="方正仿宋_GBK" w:cs="Times New Roman"/>
          <w:sz w:val="32"/>
          <w:szCs w:val="32"/>
          <w:lang w:val="en-US" w:eastAsia="zh-CN"/>
        </w:rPr>
        <w:t>院</w:t>
      </w:r>
      <w:r>
        <w:rPr>
          <w:rFonts w:hint="default" w:ascii="Times New Roman" w:hAnsi="Times New Roman" w:eastAsia="方正仿宋_GBK" w:cs="Times New Roman"/>
          <w:sz w:val="32"/>
          <w:szCs w:val="32"/>
        </w:rPr>
        <w:t>本年一般公共预算支出预算表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重庆市开州区大进镇中心卫生</w:t>
      </w:r>
      <w:r>
        <w:rPr>
          <w:rFonts w:hint="default" w:ascii="Times New Roman" w:hAnsi="Times New Roman" w:eastAsia="方正仿宋_GBK" w:cs="Times New Roman"/>
          <w:sz w:val="32"/>
          <w:szCs w:val="32"/>
          <w:lang w:val="en-US" w:eastAsia="zh-CN"/>
        </w:rPr>
        <w:t>院</w:t>
      </w:r>
      <w:r>
        <w:rPr>
          <w:rFonts w:hint="default" w:ascii="Times New Roman" w:hAnsi="Times New Roman" w:eastAsia="方正仿宋_GBK" w:cs="Times New Roman"/>
          <w:sz w:val="32"/>
          <w:szCs w:val="32"/>
        </w:rPr>
        <w:t>一般公共预算基本支出预算表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重庆市开州区大进镇中心卫生</w:t>
      </w:r>
      <w:r>
        <w:rPr>
          <w:rFonts w:hint="default" w:ascii="Times New Roman" w:hAnsi="Times New Roman" w:eastAsia="方正仿宋_GBK" w:cs="Times New Roman"/>
          <w:sz w:val="32"/>
          <w:szCs w:val="32"/>
          <w:lang w:val="en-US" w:eastAsia="zh-CN"/>
        </w:rPr>
        <w:t>院</w:t>
      </w:r>
      <w:r>
        <w:rPr>
          <w:rFonts w:hint="default" w:ascii="Times New Roman" w:hAnsi="Times New Roman" w:eastAsia="方正仿宋_GBK" w:cs="Times New Roman"/>
          <w:sz w:val="32"/>
          <w:szCs w:val="32"/>
        </w:rPr>
        <w:t>一般公共预算“三公”经费支出预算表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重庆市开州区大进镇中心卫生</w:t>
      </w:r>
      <w:r>
        <w:rPr>
          <w:rFonts w:hint="default" w:ascii="Times New Roman" w:hAnsi="Times New Roman" w:eastAsia="方正仿宋_GBK" w:cs="Times New Roman"/>
          <w:sz w:val="32"/>
          <w:szCs w:val="32"/>
          <w:lang w:val="en-US" w:eastAsia="zh-CN"/>
        </w:rPr>
        <w:t>院</w:t>
      </w:r>
      <w:r>
        <w:rPr>
          <w:rFonts w:hint="default" w:ascii="Times New Roman" w:hAnsi="Times New Roman" w:eastAsia="方正仿宋_GBK" w:cs="Times New Roman"/>
          <w:sz w:val="32"/>
          <w:szCs w:val="32"/>
        </w:rPr>
        <w:t>政府性基金预算支出预算表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重庆市开州区大进镇中心卫生</w:t>
      </w:r>
      <w:r>
        <w:rPr>
          <w:rFonts w:hint="default" w:ascii="Times New Roman" w:hAnsi="Times New Roman" w:eastAsia="方正仿宋_GBK" w:cs="Times New Roman"/>
          <w:sz w:val="32"/>
          <w:szCs w:val="32"/>
          <w:lang w:val="en-US" w:eastAsia="zh-CN"/>
        </w:rPr>
        <w:t>院</w:t>
      </w:r>
      <w:r>
        <w:rPr>
          <w:rFonts w:hint="default" w:ascii="Times New Roman" w:hAnsi="Times New Roman" w:eastAsia="方正仿宋_GBK" w:cs="Times New Roman"/>
          <w:sz w:val="32"/>
          <w:szCs w:val="32"/>
        </w:rPr>
        <w:t>国有资本经营预算支出预算表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重庆市开州区大进镇中心卫生</w:t>
      </w:r>
      <w:r>
        <w:rPr>
          <w:rFonts w:hint="default" w:ascii="Times New Roman" w:hAnsi="Times New Roman" w:eastAsia="方正仿宋_GBK" w:cs="Times New Roman"/>
          <w:sz w:val="32"/>
          <w:szCs w:val="32"/>
          <w:lang w:val="en-US" w:eastAsia="zh-CN"/>
        </w:rPr>
        <w:t>院</w:t>
      </w:r>
      <w:r>
        <w:rPr>
          <w:rFonts w:hint="default" w:ascii="Times New Roman" w:hAnsi="Times New Roman" w:eastAsia="方正仿宋_GBK" w:cs="Times New Roman"/>
          <w:sz w:val="32"/>
          <w:szCs w:val="32"/>
        </w:rPr>
        <w:t>项目支出表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eastAsia="zh-CN"/>
        </w:rPr>
        <w:t>重庆市开州区大进镇中心卫生院</w:t>
      </w:r>
      <w:r>
        <w:rPr>
          <w:rFonts w:hint="default" w:ascii="Times New Roman" w:hAnsi="Times New Roman" w:eastAsia="方正仿宋_GBK" w:cs="Times New Roman"/>
          <w:sz w:val="32"/>
          <w:szCs w:val="32"/>
        </w:rPr>
        <w:t>项目绩效目标表</w:t>
      </w:r>
    </w:p>
    <w:p>
      <w:pPr>
        <w:pStyle w:val="7"/>
        <w:rPr>
          <w:rFonts w:hint="default" w:ascii="Times New Roman" w:hAnsi="Times New Roman" w:cs="Times New Roman"/>
        </w:rPr>
      </w:pPr>
    </w:p>
    <w:p>
      <w:pPr>
        <w:pStyle w:val="7"/>
        <w:rPr>
          <w:rFonts w:hint="default" w:ascii="Times New Roman" w:hAnsi="Times New Roman" w:cs="Times New Roman"/>
        </w:rPr>
      </w:pPr>
    </w:p>
    <w:p>
      <w:pPr>
        <w:spacing w:line="600" w:lineRule="exact"/>
        <w:jc w:val="center"/>
        <w:rPr>
          <w:rFonts w:hint="default" w:ascii="Times New Roman" w:hAnsi="Times New Roman" w:eastAsia="方正小标宋_GBK" w:cs="Times New Roman"/>
          <w:sz w:val="32"/>
          <w:szCs w:val="32"/>
        </w:rPr>
      </w:pPr>
    </w:p>
    <w:p>
      <w:pPr>
        <w:spacing w:line="600" w:lineRule="exact"/>
        <w:jc w:val="center"/>
        <w:rPr>
          <w:rFonts w:hint="default" w:ascii="Times New Roman" w:hAnsi="Times New Roman" w:eastAsia="方正小标宋_GBK" w:cs="Times New Roman"/>
          <w:sz w:val="32"/>
          <w:szCs w:val="32"/>
        </w:rPr>
      </w:pPr>
    </w:p>
    <w:p>
      <w:pPr>
        <w:spacing w:line="600" w:lineRule="exact"/>
        <w:jc w:val="center"/>
        <w:rPr>
          <w:rFonts w:hint="default" w:ascii="Times New Roman" w:hAnsi="Times New Roman" w:eastAsia="方正小标宋_GBK" w:cs="Times New Roman"/>
          <w:sz w:val="32"/>
          <w:szCs w:val="32"/>
        </w:rPr>
      </w:pPr>
    </w:p>
    <w:p>
      <w:pPr>
        <w:spacing w:line="600" w:lineRule="exact"/>
        <w:jc w:val="center"/>
        <w:rPr>
          <w:rFonts w:hint="default" w:ascii="Times New Roman" w:hAnsi="Times New Roman" w:eastAsia="方正小标宋_GBK" w:cs="Times New Roman"/>
          <w:sz w:val="32"/>
          <w:szCs w:val="32"/>
        </w:rPr>
      </w:pPr>
    </w:p>
    <w:p>
      <w:pPr>
        <w:spacing w:line="600" w:lineRule="exact"/>
        <w:jc w:val="center"/>
        <w:rPr>
          <w:rFonts w:hint="default" w:ascii="Times New Roman" w:hAnsi="Times New Roman" w:eastAsia="方正小标宋_GBK" w:cs="Times New Roman"/>
          <w:sz w:val="32"/>
          <w:szCs w:val="32"/>
        </w:rPr>
      </w:pPr>
    </w:p>
    <w:p>
      <w:pPr>
        <w:pStyle w:val="7"/>
        <w:rPr>
          <w:rFonts w:hint="default" w:ascii="Times New Roman" w:hAnsi="Times New Roman" w:eastAsia="方正小标宋_GBK" w:cs="Times New Roman"/>
          <w:sz w:val="32"/>
          <w:szCs w:val="32"/>
        </w:rPr>
      </w:pPr>
    </w:p>
    <w:p>
      <w:pPr>
        <w:pStyle w:val="7"/>
        <w:rPr>
          <w:rFonts w:hint="default" w:ascii="Times New Roman" w:hAnsi="Times New Roman" w:eastAsia="方正小标宋_GBK" w:cs="Times New Roman"/>
          <w:sz w:val="32"/>
          <w:szCs w:val="32"/>
        </w:rPr>
      </w:pPr>
    </w:p>
    <w:p>
      <w:pPr>
        <w:pStyle w:val="7"/>
        <w:rPr>
          <w:rFonts w:hint="default" w:ascii="Times New Roman" w:hAnsi="Times New Roman" w:eastAsia="方正小标宋_GBK" w:cs="Times New Roman"/>
          <w:sz w:val="32"/>
          <w:szCs w:val="32"/>
        </w:rPr>
      </w:pPr>
    </w:p>
    <w:p>
      <w:pPr>
        <w:pStyle w:val="7"/>
        <w:rPr>
          <w:rFonts w:hint="default" w:ascii="Times New Roman" w:hAnsi="Times New Roman" w:eastAsia="方正小标宋_GBK" w:cs="Times New Roman"/>
          <w:sz w:val="32"/>
          <w:szCs w:val="32"/>
        </w:rPr>
      </w:pPr>
    </w:p>
    <w:p>
      <w:pPr>
        <w:pStyle w:val="7"/>
        <w:rPr>
          <w:rFonts w:hint="default" w:ascii="Times New Roman" w:hAnsi="Times New Roman" w:eastAsia="方正小标宋_GBK" w:cs="Times New Roman"/>
          <w:sz w:val="32"/>
          <w:szCs w:val="32"/>
        </w:rPr>
      </w:pPr>
    </w:p>
    <w:p>
      <w:pPr>
        <w:pStyle w:val="7"/>
        <w:ind w:left="0" w:leftChars="0" w:firstLine="0" w:firstLineChars="0"/>
        <w:rPr>
          <w:rFonts w:hint="default" w:ascii="Times New Roman" w:hAnsi="Times New Roman" w:eastAsia="方正小标宋_GBK" w:cs="Times New Roman"/>
          <w:sz w:val="32"/>
          <w:szCs w:val="32"/>
        </w:rPr>
      </w:pPr>
    </w:p>
    <w:p>
      <w:pPr>
        <w:spacing w:line="600" w:lineRule="exact"/>
        <w:jc w:val="both"/>
        <w:rPr>
          <w:rFonts w:hint="default" w:ascii="Times New Roman" w:hAnsi="Times New Roman" w:eastAsia="方正小标宋_GBK" w:cs="Times New Roman"/>
          <w:sz w:val="32"/>
          <w:szCs w:val="32"/>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第一部分：2024年部门预算情况说明</w:t>
      </w:r>
    </w:p>
    <w:p>
      <w:pPr>
        <w:pStyle w:val="7"/>
        <w:numPr>
          <w:ilvl w:val="0"/>
          <w:numId w:val="1"/>
        </w:num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单位基本情况</w:t>
      </w:r>
    </w:p>
    <w:p>
      <w:pPr>
        <w:pStyle w:val="7"/>
        <w:numPr>
          <w:ilvl w:val="0"/>
          <w:numId w:val="0"/>
        </w:numPr>
        <w:ind w:leftChars="200" w:firstLine="320" w:firstLineChars="100"/>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w:t>
      </w:r>
      <w:r>
        <w:rPr>
          <w:rFonts w:hint="default" w:ascii="Times New Roman" w:hAnsi="Times New Roman" w:eastAsia="方正楷体_GBK" w:cs="Times New Roman"/>
          <w:b w:val="0"/>
          <w:bCs w:val="0"/>
          <w:sz w:val="32"/>
          <w:szCs w:val="32"/>
        </w:rPr>
        <w:t>一）职能职责</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部门现行的职能职责</w:t>
      </w:r>
      <w:r>
        <w:rPr>
          <w:rFonts w:hint="default" w:ascii="Times New Roman" w:hAnsi="Times New Roman" w:eastAsia="方正仿宋_GBK" w:cs="Times New Roman"/>
          <w:sz w:val="32"/>
          <w:szCs w:val="32"/>
          <w:lang w:eastAsia="zh-CN"/>
        </w:rPr>
        <w:t>：为了人民身体健康提供基本医疗、公共卫生以及医养结合服务。常见病、多发病的诊治和护理，卫生防疫、保健与健康教育；贯彻落实医养结合政策措施；开展医疗服务与养老服务相结合的有关工作；负责老年人医疗照护、慢性病康复、心理健康咨询与养老关怀服务。</w:t>
      </w:r>
    </w:p>
    <w:p>
      <w:pPr>
        <w:tabs>
          <w:tab w:val="center" w:pos="4153"/>
          <w:tab w:val="left" w:pos="7275"/>
        </w:tabs>
        <w:spacing w:line="600" w:lineRule="exact"/>
        <w:ind w:left="640"/>
        <w:jc w:val="left"/>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（二）单位构成</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开州区大进镇中心卫生院</w:t>
      </w:r>
      <w:r>
        <w:rPr>
          <w:rFonts w:hint="default" w:ascii="Times New Roman" w:hAnsi="Times New Roman" w:eastAsia="方正仿宋_GBK" w:cs="Times New Roman"/>
          <w:sz w:val="32"/>
          <w:szCs w:val="32"/>
        </w:rPr>
        <w:t>内设</w:t>
      </w:r>
      <w:r>
        <w:rPr>
          <w:rFonts w:hint="default" w:ascii="Times New Roman" w:hAnsi="Times New Roman" w:eastAsia="方正仿宋_GBK" w:cs="Times New Roman"/>
          <w:sz w:val="32"/>
          <w:szCs w:val="32"/>
          <w:lang w:eastAsia="zh-CN"/>
        </w:rPr>
        <w:t>内科、儿科、妇产科、外科、公共卫生科、口腔科、理疗科、药剂科、检验科、影像科、感染科、护理部、医务科、院办室、信息科、医保科、后勤科。</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从预算单位结构成看，本单位是二级预算单位，主管部门为重庆市开州区卫生健康委员会。</w:t>
      </w:r>
    </w:p>
    <w:p>
      <w:pPr>
        <w:spacing w:line="600" w:lineRule="exact"/>
        <w:ind w:left="64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二、部门收支总体情况</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楷体_GBK" w:cs="Times New Roman"/>
          <w:b w:val="0"/>
          <w:bCs w:val="0"/>
          <w:sz w:val="32"/>
          <w:szCs w:val="32"/>
        </w:rPr>
        <w:t>收入预算</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 xml:space="preserve">年初预算数 </w:t>
      </w:r>
      <w:r>
        <w:rPr>
          <w:rFonts w:hint="default" w:ascii="Times New Roman" w:hAnsi="Times New Roman" w:eastAsia="方正仿宋_GBK" w:cs="Times New Roman"/>
          <w:sz w:val="32"/>
          <w:szCs w:val="32"/>
          <w:lang w:val="en-US" w:eastAsia="zh-CN"/>
        </w:rPr>
        <w:t>4778.06</w:t>
      </w:r>
      <w:r>
        <w:rPr>
          <w:rFonts w:hint="default" w:ascii="Times New Roman" w:hAnsi="Times New Roman" w:eastAsia="方正仿宋_GBK" w:cs="Times New Roman"/>
          <w:sz w:val="32"/>
          <w:szCs w:val="32"/>
        </w:rPr>
        <w:t>万元，其中：一般公共预算拨款</w:t>
      </w:r>
      <w:r>
        <w:rPr>
          <w:rFonts w:hint="default" w:ascii="Times New Roman" w:hAnsi="Times New Roman" w:eastAsia="方正仿宋_GBK" w:cs="Times New Roman"/>
          <w:sz w:val="32"/>
          <w:szCs w:val="32"/>
          <w:lang w:val="en-US" w:eastAsia="zh-CN"/>
        </w:rPr>
        <w:t>790.05</w:t>
      </w:r>
      <w:r>
        <w:rPr>
          <w:rFonts w:hint="default" w:ascii="Times New Roman" w:hAnsi="Times New Roman" w:eastAsia="方正仿宋_GBK" w:cs="Times New Roman"/>
          <w:sz w:val="32"/>
          <w:szCs w:val="32"/>
        </w:rPr>
        <w:t xml:space="preserve">万元，政府性基金预算拨款 </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万元，国有资本经营预算收入 </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万元，事业收入 </w:t>
      </w:r>
      <w:r>
        <w:rPr>
          <w:rFonts w:hint="default" w:ascii="Times New Roman" w:hAnsi="Times New Roman" w:eastAsia="方正仿宋_GBK" w:cs="Times New Roman"/>
          <w:sz w:val="32"/>
          <w:szCs w:val="32"/>
          <w:lang w:val="en-US" w:eastAsia="zh-CN"/>
        </w:rPr>
        <w:t>3988.01</w:t>
      </w:r>
      <w:r>
        <w:rPr>
          <w:rFonts w:hint="default" w:ascii="Times New Roman" w:hAnsi="Times New Roman" w:eastAsia="方正仿宋_GBK" w:cs="Times New Roman"/>
          <w:sz w:val="32"/>
          <w:szCs w:val="32"/>
        </w:rPr>
        <w:t xml:space="preserve">万元，事业单位经营收入 </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万元，其他收入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 万元。收入较</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年减少</w:t>
      </w:r>
      <w:r>
        <w:rPr>
          <w:rFonts w:hint="default" w:ascii="Times New Roman" w:hAnsi="Times New Roman" w:eastAsia="方正仿宋_GBK" w:cs="Times New Roman"/>
          <w:sz w:val="32"/>
          <w:szCs w:val="32"/>
          <w:lang w:val="en-US" w:eastAsia="zh-CN"/>
        </w:rPr>
        <w:t>98.93</w:t>
      </w:r>
      <w:r>
        <w:rPr>
          <w:rFonts w:hint="default" w:ascii="Times New Roman" w:hAnsi="Times New Roman" w:eastAsia="方正仿宋_GBK" w:cs="Times New Roman"/>
          <w:sz w:val="32"/>
          <w:szCs w:val="32"/>
        </w:rPr>
        <w:t xml:space="preserve"> 万元，主要是</w:t>
      </w:r>
      <w:r>
        <w:rPr>
          <w:rFonts w:hint="default" w:ascii="Times New Roman" w:hAnsi="Times New Roman" w:eastAsia="方正仿宋_GBK" w:cs="Times New Roman"/>
          <w:sz w:val="32"/>
          <w:szCs w:val="32"/>
          <w:lang w:eastAsia="zh-CN"/>
        </w:rPr>
        <w:t>一般公共预算</w:t>
      </w:r>
      <w:r>
        <w:rPr>
          <w:rFonts w:hint="default" w:ascii="Times New Roman" w:hAnsi="Times New Roman" w:eastAsia="方正仿宋_GBK" w:cs="Times New Roman"/>
          <w:sz w:val="32"/>
          <w:szCs w:val="32"/>
        </w:rPr>
        <w:t>经费拨款</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lang w:val="en-US" w:eastAsia="zh-CN"/>
        </w:rPr>
        <w:t>3.26</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，事业收入减少</w:t>
      </w:r>
      <w:r>
        <w:rPr>
          <w:rFonts w:hint="default" w:ascii="Times New Roman" w:hAnsi="Times New Roman" w:eastAsia="方正仿宋_GBK" w:cs="Times New Roman"/>
          <w:sz w:val="32"/>
          <w:szCs w:val="32"/>
          <w:lang w:val="en-US" w:eastAsia="zh-CN"/>
        </w:rPr>
        <w:t>102.19万元</w:t>
      </w:r>
      <w:r>
        <w:rPr>
          <w:rFonts w:hint="default" w:ascii="Times New Roman" w:hAnsi="Times New Roman" w:eastAsia="方正仿宋_GBK" w:cs="Times New Roman"/>
          <w:sz w:val="32"/>
          <w:szCs w:val="32"/>
        </w:rPr>
        <w:t>。</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楷体_GBK" w:cs="Times New Roman"/>
          <w:b w:val="0"/>
          <w:bCs w:val="0"/>
          <w:sz w:val="32"/>
          <w:szCs w:val="32"/>
        </w:rPr>
        <w:t>支出预算</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年初预算数</w:t>
      </w:r>
      <w:r>
        <w:rPr>
          <w:rFonts w:hint="default" w:ascii="Times New Roman" w:hAnsi="Times New Roman" w:eastAsia="方正仿宋_GBK" w:cs="Times New Roman"/>
          <w:sz w:val="32"/>
          <w:szCs w:val="32"/>
          <w:lang w:val="en-US" w:eastAsia="zh-CN"/>
        </w:rPr>
        <w:t>4778.06</w:t>
      </w:r>
      <w:r>
        <w:rPr>
          <w:rFonts w:hint="default" w:ascii="Times New Roman" w:hAnsi="Times New Roman" w:eastAsia="方正仿宋_GBK" w:cs="Times New Roman"/>
          <w:sz w:val="32"/>
          <w:szCs w:val="32"/>
        </w:rPr>
        <w:t xml:space="preserve"> 万元，其中：一般公共服务支出预算</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 万元，教育支出预算 </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 xml:space="preserve">万元，社会保障和就业支出预算 </w:t>
      </w:r>
      <w:r>
        <w:rPr>
          <w:rFonts w:hint="default" w:ascii="Times New Roman" w:hAnsi="Times New Roman" w:eastAsia="方正仿宋_GBK" w:cs="Times New Roman"/>
          <w:sz w:val="32"/>
          <w:szCs w:val="32"/>
          <w:lang w:val="en-US" w:eastAsia="zh-CN"/>
        </w:rPr>
        <w:t>201.03</w:t>
      </w:r>
      <w:r>
        <w:rPr>
          <w:rFonts w:hint="default" w:ascii="Times New Roman" w:hAnsi="Times New Roman" w:eastAsia="方正仿宋_GBK" w:cs="Times New Roman"/>
          <w:sz w:val="32"/>
          <w:szCs w:val="32"/>
        </w:rPr>
        <w:t xml:space="preserve">万元，卫生健康支出预算 </w:t>
      </w:r>
      <w:r>
        <w:rPr>
          <w:rFonts w:hint="default" w:ascii="Times New Roman" w:hAnsi="Times New Roman" w:eastAsia="方正仿宋_GBK" w:cs="Times New Roman"/>
          <w:sz w:val="32"/>
          <w:szCs w:val="32"/>
          <w:lang w:val="en-US" w:eastAsia="zh-CN"/>
        </w:rPr>
        <w:t>4511.01</w:t>
      </w:r>
      <w:r>
        <w:rPr>
          <w:rFonts w:hint="default" w:ascii="Times New Roman" w:hAnsi="Times New Roman" w:eastAsia="方正仿宋_GBK" w:cs="Times New Roman"/>
          <w:sz w:val="32"/>
          <w:szCs w:val="32"/>
        </w:rPr>
        <w:t>万元，住房保障支出预算</w:t>
      </w:r>
      <w:r>
        <w:rPr>
          <w:rFonts w:hint="default" w:ascii="Times New Roman" w:hAnsi="Times New Roman" w:eastAsia="方正仿宋_GBK" w:cs="Times New Roman"/>
          <w:sz w:val="32"/>
          <w:szCs w:val="32"/>
          <w:lang w:val="en-US" w:eastAsia="zh-CN"/>
        </w:rPr>
        <w:t>66.02</w:t>
      </w:r>
      <w:r>
        <w:rPr>
          <w:rFonts w:hint="default" w:ascii="Times New Roman" w:hAnsi="Times New Roman" w:eastAsia="方正仿宋_GBK" w:cs="Times New Roman"/>
          <w:sz w:val="32"/>
          <w:szCs w:val="32"/>
        </w:rPr>
        <w:t>万元。支出预算较202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98.93</w:t>
      </w:r>
      <w:r>
        <w:rPr>
          <w:rFonts w:hint="default" w:ascii="Times New Roman" w:hAnsi="Times New Roman" w:eastAsia="方正仿宋_GBK" w:cs="Times New Roman"/>
          <w:sz w:val="32"/>
          <w:szCs w:val="32"/>
        </w:rPr>
        <w:t>万元，主要是基本支出预算</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98.93</w:t>
      </w:r>
      <w:r>
        <w:rPr>
          <w:rFonts w:hint="default" w:ascii="Times New Roman" w:hAnsi="Times New Roman" w:eastAsia="方正仿宋_GBK" w:cs="Times New Roman"/>
          <w:sz w:val="32"/>
          <w:szCs w:val="32"/>
        </w:rPr>
        <w:t xml:space="preserve">万元，项目支出预算增加 </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spacing w:line="600" w:lineRule="exact"/>
        <w:ind w:left="64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三、部门预算情况说明</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rPr>
        <w:t>一般公共预算财政拨款收入</w:t>
      </w:r>
      <w:r>
        <w:rPr>
          <w:rFonts w:hint="default" w:ascii="Times New Roman" w:hAnsi="Times New Roman" w:eastAsia="方正仿宋_GBK" w:cs="Times New Roman"/>
          <w:sz w:val="32"/>
          <w:szCs w:val="32"/>
          <w:lang w:val="en-US" w:eastAsia="zh-CN"/>
        </w:rPr>
        <w:t>790.05</w:t>
      </w:r>
      <w:r>
        <w:rPr>
          <w:rFonts w:hint="default" w:ascii="Times New Roman" w:hAnsi="Times New Roman" w:eastAsia="方正仿宋_GBK" w:cs="Times New Roman"/>
          <w:sz w:val="32"/>
          <w:szCs w:val="32"/>
        </w:rPr>
        <w:t>万元，一般公共预算财政拨款支出</w:t>
      </w:r>
      <w:r>
        <w:rPr>
          <w:rFonts w:hint="default" w:ascii="Times New Roman" w:hAnsi="Times New Roman" w:eastAsia="方正仿宋_GBK" w:cs="Times New Roman"/>
          <w:sz w:val="32"/>
          <w:szCs w:val="32"/>
          <w:lang w:val="en-US" w:eastAsia="zh-CN"/>
        </w:rPr>
        <w:t>790.05</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年增加</w:t>
      </w:r>
      <w:r>
        <w:rPr>
          <w:rFonts w:hint="default" w:ascii="Times New Roman" w:hAnsi="Times New Roman" w:eastAsia="方正仿宋_GBK" w:cs="Times New Roman"/>
          <w:sz w:val="32"/>
          <w:szCs w:val="32"/>
          <w:lang w:val="en-US" w:eastAsia="zh-CN"/>
        </w:rPr>
        <w:t>3.26</w:t>
      </w:r>
      <w:r>
        <w:rPr>
          <w:rFonts w:hint="default" w:ascii="Times New Roman" w:hAnsi="Times New Roman" w:eastAsia="方正仿宋_GBK" w:cs="Times New Roman"/>
          <w:sz w:val="32"/>
          <w:szCs w:val="32"/>
        </w:rPr>
        <w:t>万元。其中：基本支出</w:t>
      </w:r>
      <w:r>
        <w:rPr>
          <w:rFonts w:hint="default" w:ascii="Times New Roman" w:hAnsi="Times New Roman" w:eastAsia="方正仿宋_GBK" w:cs="Times New Roman"/>
          <w:sz w:val="32"/>
          <w:szCs w:val="32"/>
          <w:lang w:val="en-US" w:eastAsia="zh-CN"/>
        </w:rPr>
        <w:t>790.05</w:t>
      </w:r>
      <w:r>
        <w:rPr>
          <w:rFonts w:hint="default" w:ascii="Times New Roman" w:hAnsi="Times New Roman" w:eastAsia="方正仿宋_GBK" w:cs="Times New Roman"/>
          <w:sz w:val="32"/>
          <w:szCs w:val="32"/>
        </w:rPr>
        <w:t xml:space="preserve"> 万元，比202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年增加</w:t>
      </w:r>
      <w:r>
        <w:rPr>
          <w:rFonts w:hint="default" w:ascii="Times New Roman" w:hAnsi="Times New Roman" w:eastAsia="方正仿宋_GBK" w:cs="Times New Roman"/>
          <w:sz w:val="32"/>
          <w:szCs w:val="32"/>
          <w:lang w:val="en-US" w:eastAsia="zh-CN"/>
        </w:rPr>
        <w:t>3.26</w:t>
      </w:r>
      <w:r>
        <w:rPr>
          <w:rFonts w:hint="default" w:ascii="Times New Roman" w:hAnsi="Times New Roman" w:eastAsia="方正仿宋_GBK" w:cs="Times New Roman"/>
          <w:sz w:val="32"/>
          <w:szCs w:val="32"/>
        </w:rPr>
        <w:t>万元，主要原因是</w:t>
      </w:r>
      <w:r>
        <w:rPr>
          <w:rFonts w:hint="default" w:ascii="Times New Roman" w:hAnsi="Times New Roman" w:eastAsia="方正仿宋_GBK" w:cs="Times New Roman"/>
          <w:sz w:val="32"/>
          <w:szCs w:val="32"/>
          <w:lang w:eastAsia="zh-CN"/>
        </w:rPr>
        <w:t>人员变动、工资调整</w:t>
      </w:r>
      <w:r>
        <w:rPr>
          <w:rFonts w:hint="default" w:ascii="Times New Roman" w:hAnsi="Times New Roman" w:eastAsia="方正仿宋_GBK" w:cs="Times New Roman"/>
          <w:sz w:val="32"/>
          <w:szCs w:val="32"/>
        </w:rPr>
        <w:t>等，主要用于保障在职人员工资福利及社会保险缴费，离休人员离休费，退休人员补助等，保障部门正常运转的各项商品服务支出；项目支出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年增加</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重庆市开州区大进镇中心卫生院2024年</w:t>
      </w:r>
      <w:r>
        <w:rPr>
          <w:rFonts w:hint="default" w:ascii="Times New Roman" w:hAnsi="Times New Roman" w:eastAsia="方正仿宋_GBK" w:cs="Times New Roman"/>
          <w:sz w:val="32"/>
          <w:szCs w:val="32"/>
        </w:rPr>
        <w:t>无使用政府性基金预算拨款安排的支出。</w:t>
      </w:r>
    </w:p>
    <w:p>
      <w:pPr>
        <w:spacing w:line="600" w:lineRule="exact"/>
        <w:ind w:left="640"/>
        <w:rPr>
          <w:rFonts w:hint="default" w:ascii="Times New Roman" w:hAnsi="Times New Roman" w:eastAsia="方正仿宋_GBK" w:cs="Times New Roman"/>
          <w:sz w:val="32"/>
          <w:szCs w:val="32"/>
        </w:rPr>
      </w:pPr>
      <w:r>
        <w:rPr>
          <w:rFonts w:hint="default" w:ascii="Times New Roman" w:hAnsi="Times New Roman" w:eastAsia="方正小标宋_GBK" w:cs="Times New Roman"/>
          <w:sz w:val="32"/>
          <w:szCs w:val="32"/>
        </w:rPr>
        <w:t>四、“三公”经费情况说明</w:t>
      </w:r>
    </w:p>
    <w:p>
      <w:pPr>
        <w:spacing w:line="6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我单位属于差额拨款单位，财政未保障我单位“三公”经费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Cs/>
          <w:sz w:val="32"/>
          <w:szCs w:val="32"/>
        </w:rPr>
        <w:t>“三公”经费为0</w:t>
      </w:r>
      <w:r>
        <w:rPr>
          <w:rFonts w:hint="default" w:ascii="Times New Roman" w:hAnsi="Times New Roman" w:eastAsia="方正仿宋_GBK" w:cs="Times New Roman"/>
          <w:bCs/>
          <w:sz w:val="32"/>
          <w:szCs w:val="32"/>
          <w:lang w:eastAsia="zh-CN"/>
        </w:rPr>
        <w:t>万元</w:t>
      </w:r>
      <w:r>
        <w:rPr>
          <w:rFonts w:hint="default" w:ascii="Times New Roman" w:hAnsi="Times New Roman" w:eastAsia="方正仿宋_GBK" w:cs="Times New Roman"/>
          <w:sz w:val="32"/>
          <w:szCs w:val="32"/>
        </w:rPr>
        <w:t>。</w:t>
      </w:r>
    </w:p>
    <w:p>
      <w:pPr>
        <w:spacing w:line="600" w:lineRule="exact"/>
        <w:ind w:left="64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五、其他重要事项的情况说明</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我单位不在机关运行经费统计范围之内。</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2</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政府采购情况。</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rPr>
        <w:t>政府采购预算</w:t>
      </w:r>
      <w:r>
        <w:rPr>
          <w:rFonts w:hint="default" w:ascii="Times New Roman" w:hAnsi="Times New Roman" w:eastAsia="方正仿宋_GBK" w:cs="Times New Roman"/>
          <w:sz w:val="32"/>
          <w:szCs w:val="32"/>
          <w:lang w:eastAsia="zh-CN"/>
        </w:rPr>
        <w:t>总额</w:t>
      </w:r>
      <w:r>
        <w:rPr>
          <w:rFonts w:hint="default" w:ascii="Times New Roman" w:hAnsi="Times New Roman" w:eastAsia="方正仿宋_GBK" w:cs="Times New Roman"/>
          <w:sz w:val="32"/>
          <w:szCs w:val="32"/>
          <w:lang w:val="en-US" w:eastAsia="zh-CN"/>
        </w:rPr>
        <w:t>565万元：政府采购货物预算330万元、政府采购工程预算155万元、政府采购服务预算80万元；其中一般公共预算拨款政府采购0万元：政府采购货物预算0万元、政府采购工程预算0万元、政府采购服务预算0万元。</w:t>
      </w:r>
    </w:p>
    <w:p>
      <w:pPr>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sz w:val="32"/>
          <w:szCs w:val="32"/>
        </w:rPr>
        <w:t>3</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绩效目标设置情况。</w:t>
      </w:r>
      <w:r>
        <w:rPr>
          <w:rFonts w:hint="default" w:ascii="Times New Roman" w:hAnsi="Times New Roman" w:eastAsia="方正仿宋_GBK" w:cs="Times New Roman"/>
          <w:color w:val="000000"/>
          <w:sz w:val="32"/>
          <w:szCs w:val="32"/>
          <w:lang w:eastAsia="zh-CN"/>
        </w:rPr>
        <w:t>2024年</w:t>
      </w:r>
      <w:r>
        <w:rPr>
          <w:rFonts w:hint="default" w:ascii="Times New Roman" w:hAnsi="Times New Roman" w:eastAsia="方正仿宋_GBK" w:cs="Times New Roman"/>
          <w:color w:val="000000"/>
          <w:sz w:val="32"/>
          <w:szCs w:val="32"/>
        </w:rPr>
        <w:t>项目支出均实行了绩效目标管理，涉及一般公共预算当年财政拨款</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 万元。</w:t>
      </w:r>
    </w:p>
    <w:p>
      <w:pPr>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sz w:val="32"/>
          <w:szCs w:val="32"/>
        </w:rPr>
        <w:t>4</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国有资产占有使用情况。</w:t>
      </w:r>
      <w:r>
        <w:rPr>
          <w:rFonts w:hint="eastAsia" w:eastAsia="方正仿宋_GBK" w:cs="Times New Roman"/>
          <w:color w:val="000000"/>
          <w:sz w:val="32"/>
          <w:szCs w:val="32"/>
          <w:lang w:eastAsia="zh-CN"/>
        </w:rPr>
        <w:t>截至</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年12月，</w:t>
      </w:r>
      <w:r>
        <w:rPr>
          <w:rFonts w:hint="default" w:ascii="Times New Roman" w:hAnsi="Times New Roman" w:eastAsia="方正仿宋_GBK" w:cs="Times New Roman"/>
          <w:color w:val="000000"/>
          <w:sz w:val="32"/>
          <w:szCs w:val="32"/>
          <w:lang w:eastAsia="zh-CN"/>
        </w:rPr>
        <w:t>我</w:t>
      </w:r>
      <w:r>
        <w:rPr>
          <w:rFonts w:hint="default" w:ascii="Times New Roman" w:hAnsi="Times New Roman" w:eastAsia="方正仿宋_GBK" w:cs="Times New Roman"/>
          <w:color w:val="000000"/>
          <w:sz w:val="32"/>
          <w:szCs w:val="32"/>
        </w:rPr>
        <w:t>单位共有车辆</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 xml:space="preserve"> 辆，其中</w:t>
      </w:r>
      <w:r>
        <w:rPr>
          <w:rFonts w:hint="default" w:ascii="Times New Roman" w:hAnsi="Times New Roman" w:eastAsia="方正仿宋_GBK" w:cs="Times New Roman"/>
          <w:color w:val="000000"/>
          <w:sz w:val="32"/>
          <w:szCs w:val="32"/>
          <w:lang w:eastAsia="zh-CN"/>
        </w:rPr>
        <w:t>急救用车</w:t>
      </w:r>
      <w:r>
        <w:rPr>
          <w:rFonts w:hint="default" w:ascii="Times New Roman" w:hAnsi="Times New Roman" w:eastAsia="方正仿宋_GBK" w:cs="Times New Roman"/>
          <w:color w:val="000000"/>
          <w:sz w:val="32"/>
          <w:szCs w:val="32"/>
          <w:lang w:val="en-US" w:eastAsia="zh-CN"/>
        </w:rPr>
        <w:t>3辆</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2024年一般公共预算安排购置车辆0辆。</w:t>
      </w:r>
    </w:p>
    <w:p>
      <w:pPr>
        <w:spacing w:line="600" w:lineRule="exact"/>
        <w:ind w:left="64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六、专业性名词解释</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楷体_GBK" w:cs="Times New Roman"/>
          <w:sz w:val="32"/>
          <w:szCs w:val="32"/>
        </w:rPr>
        <w:t>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楷体_GBK" w:cs="Times New Roman"/>
          <w:sz w:val="32"/>
          <w:szCs w:val="32"/>
        </w:rPr>
        <w:t>其他收入：</w:t>
      </w:r>
      <w:r>
        <w:rPr>
          <w:rFonts w:hint="default" w:ascii="Times New Roman" w:hAnsi="Times New Roman" w:eastAsia="方正仿宋_GBK" w:cs="Times New Roman"/>
          <w:sz w:val="32"/>
          <w:szCs w:val="32"/>
        </w:rPr>
        <w:t>指单位取得的除“财政拨款收入”、“事业收入”、“经营收入”等以外的收入。</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default" w:ascii="Times New Roman" w:hAnsi="Times New Roman" w:eastAsia="方正楷体_GBK" w:cs="Times New Roman"/>
          <w:sz w:val="32"/>
          <w:szCs w:val="32"/>
        </w:rPr>
        <w:t>基本支出：</w:t>
      </w:r>
      <w:r>
        <w:rPr>
          <w:rFonts w:hint="default" w:ascii="Times New Roman" w:hAnsi="Times New Roman" w:eastAsia="方正仿宋_GBK" w:cs="Times New Roman"/>
          <w:sz w:val="32"/>
          <w:szCs w:val="32"/>
        </w:rPr>
        <w:t>指为保障机构正常运转、完成日常工作任务而发生的人员经费和公用经费。</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r>
        <w:rPr>
          <w:rFonts w:hint="default" w:ascii="Times New Roman" w:hAnsi="Times New Roman" w:eastAsia="方正楷体_GBK" w:cs="Times New Roman"/>
          <w:sz w:val="32"/>
          <w:szCs w:val="32"/>
        </w:rPr>
        <w:t>项目支出：</w:t>
      </w:r>
      <w:r>
        <w:rPr>
          <w:rFonts w:hint="default"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default" w:ascii="Times New Roman" w:hAnsi="Times New Roman" w:eastAsia="方正楷体_GBK" w:cs="Times New Roman"/>
          <w:sz w:val="32"/>
          <w:szCs w:val="32"/>
        </w:rPr>
        <w:t>“三公”经费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hint="default" w:ascii="Times New Roman" w:hAnsi="Times New Roman" w:eastAsia="方正仿宋_GBK" w:cs="Times New Roman"/>
          <w:sz w:val="32"/>
          <w:szCs w:val="32"/>
        </w:rPr>
      </w:pPr>
    </w:p>
    <w:p>
      <w:pPr>
        <w:spacing w:line="600" w:lineRule="exact"/>
        <w:jc w:val="center"/>
        <w:rPr>
          <w:rFonts w:hint="default" w:ascii="Times New Roman" w:hAnsi="Times New Roman" w:eastAsia="方正仿宋_GBK" w:cs="Times New Roman"/>
          <w:b/>
          <w:bCs/>
          <w:sz w:val="44"/>
          <w:szCs w:val="44"/>
        </w:rPr>
      </w:pPr>
    </w:p>
    <w:p>
      <w:pPr>
        <w:spacing w:line="600" w:lineRule="exact"/>
        <w:jc w:val="center"/>
        <w:rPr>
          <w:rFonts w:hint="default" w:ascii="Times New Roman" w:hAnsi="Times New Roman" w:eastAsia="方正仿宋_GBK" w:cs="Times New Roman"/>
          <w:b/>
          <w:bCs/>
          <w:sz w:val="44"/>
          <w:szCs w:val="44"/>
        </w:rPr>
      </w:pPr>
    </w:p>
    <w:p>
      <w:pPr>
        <w:spacing w:line="600" w:lineRule="exact"/>
        <w:jc w:val="center"/>
        <w:rPr>
          <w:rFonts w:hint="default" w:ascii="Times New Roman" w:hAnsi="Times New Roman" w:eastAsia="方正仿宋_GBK" w:cs="Times New Roman"/>
          <w:b/>
          <w:bCs/>
          <w:sz w:val="44"/>
          <w:szCs w:val="44"/>
        </w:rPr>
      </w:pPr>
    </w:p>
    <w:p>
      <w:pPr>
        <w:spacing w:line="600" w:lineRule="exact"/>
        <w:jc w:val="center"/>
        <w:rPr>
          <w:rFonts w:hint="default" w:ascii="Times New Roman" w:hAnsi="Times New Roman" w:eastAsia="方正仿宋_GBK" w:cs="Times New Roman"/>
          <w:b/>
          <w:bCs/>
          <w:sz w:val="44"/>
          <w:szCs w:val="44"/>
        </w:rPr>
      </w:pPr>
    </w:p>
    <w:p>
      <w:pPr>
        <w:spacing w:line="600" w:lineRule="exact"/>
        <w:jc w:val="center"/>
        <w:rPr>
          <w:rFonts w:hint="default" w:ascii="Times New Roman" w:hAnsi="Times New Roman" w:eastAsia="方正仿宋_GBK" w:cs="Times New Roman"/>
          <w:b/>
          <w:bCs/>
          <w:sz w:val="44"/>
          <w:szCs w:val="44"/>
        </w:rPr>
      </w:pPr>
    </w:p>
    <w:p>
      <w:pPr>
        <w:spacing w:line="600" w:lineRule="exact"/>
        <w:jc w:val="center"/>
        <w:rPr>
          <w:rFonts w:hint="default" w:ascii="Times New Roman" w:hAnsi="Times New Roman" w:eastAsia="方正仿宋_GBK" w:cs="Times New Roman"/>
          <w:b/>
          <w:bCs/>
          <w:sz w:val="44"/>
          <w:szCs w:val="44"/>
        </w:rPr>
      </w:pPr>
    </w:p>
    <w:p>
      <w:pPr>
        <w:spacing w:line="600" w:lineRule="exact"/>
        <w:jc w:val="center"/>
        <w:rPr>
          <w:rFonts w:hint="default" w:ascii="Times New Roman" w:hAnsi="Times New Roman" w:eastAsia="方正仿宋_GBK" w:cs="Times New Roman"/>
          <w:b/>
          <w:bCs/>
          <w:sz w:val="44"/>
          <w:szCs w:val="44"/>
        </w:rPr>
      </w:pPr>
    </w:p>
    <w:p>
      <w:pPr>
        <w:spacing w:line="600" w:lineRule="exact"/>
        <w:jc w:val="center"/>
        <w:rPr>
          <w:rFonts w:hint="default" w:ascii="Times New Roman" w:hAnsi="Times New Roman" w:eastAsia="方正仿宋_GBK" w:cs="Times New Roman"/>
          <w:b/>
          <w:bCs/>
          <w:sz w:val="44"/>
          <w:szCs w:val="44"/>
        </w:rPr>
      </w:pPr>
    </w:p>
    <w:p>
      <w:pPr>
        <w:spacing w:line="600" w:lineRule="exact"/>
        <w:jc w:val="center"/>
        <w:rPr>
          <w:rFonts w:hint="default" w:ascii="Times New Roman" w:hAnsi="Times New Roman" w:eastAsia="方正仿宋_GBK" w:cs="Times New Roman"/>
          <w:b/>
          <w:bCs/>
          <w:sz w:val="44"/>
          <w:szCs w:val="44"/>
        </w:rPr>
      </w:pPr>
    </w:p>
    <w:p>
      <w:pPr>
        <w:spacing w:line="600" w:lineRule="exact"/>
        <w:jc w:val="center"/>
        <w:rPr>
          <w:rFonts w:hint="default" w:ascii="Times New Roman" w:hAnsi="Times New Roman" w:eastAsia="方正仿宋_GBK" w:cs="Times New Roman"/>
          <w:b/>
          <w:bCs/>
          <w:sz w:val="44"/>
          <w:szCs w:val="44"/>
        </w:rPr>
      </w:pPr>
    </w:p>
    <w:p>
      <w:pPr>
        <w:spacing w:line="600" w:lineRule="exact"/>
        <w:jc w:val="both"/>
        <w:rPr>
          <w:rFonts w:hint="default" w:ascii="Times New Roman" w:hAnsi="Times New Roman" w:eastAsia="方正仿宋_GBK" w:cs="Times New Roman"/>
          <w:b/>
          <w:bCs/>
          <w:sz w:val="44"/>
          <w:szCs w:val="44"/>
        </w:rPr>
      </w:pPr>
    </w:p>
    <w:p>
      <w:pPr>
        <w:spacing w:line="600" w:lineRule="exact"/>
        <w:ind w:firstLine="880" w:firstLineChars="20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ind w:firstLine="880" w:firstLineChars="200"/>
        <w:jc w:val="center"/>
        <w:rPr>
          <w:rFonts w:hint="default" w:ascii="Times New Roman" w:hAnsi="Times New Roman" w:eastAsia="方正仿宋_GBK" w:cs="Times New Roman"/>
          <w:sz w:val="44"/>
          <w:szCs w:val="44"/>
        </w:rPr>
      </w:pPr>
    </w:p>
    <w:p>
      <w:pPr>
        <w:pStyle w:val="7"/>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rPr>
        <w:t>2024年部门预算公开报表（详见</w:t>
      </w:r>
      <w:r>
        <w:rPr>
          <w:rFonts w:hint="default" w:ascii="Times New Roman" w:hAnsi="Times New Roman" w:eastAsia="方正仿宋_GBK" w:cs="Times New Roman"/>
          <w:sz w:val="32"/>
          <w:lang w:val="en-US" w:eastAsia="zh-CN"/>
        </w:rPr>
        <w:t>附表重庆市开州区大进镇中心卫生院</w:t>
      </w:r>
      <w:r>
        <w:rPr>
          <w:rFonts w:hint="default" w:ascii="Times New Roman" w:hAnsi="Times New Roman" w:eastAsia="方正仿宋_GBK" w:cs="Times New Roman"/>
          <w:sz w:val="32"/>
        </w:rPr>
        <w:t>2024年部门预算公开报表）</w:t>
      </w:r>
    </w:p>
    <w:p>
      <w:pPr>
        <w:rPr>
          <w:rFonts w:hint="default" w:ascii="Times New Roman" w:hAnsi="Times New Roman" w:eastAsia="方正仿宋_GBK" w:cs="Times New Roman"/>
          <w:b/>
          <w:sz w:val="32"/>
          <w:lang w:val="en-US" w:eastAsia="zh-CN"/>
        </w:rPr>
      </w:pPr>
      <w:r>
        <w:rPr>
          <w:rFonts w:hint="default" w:ascii="Times New Roman" w:hAnsi="Times New Roman" w:eastAsia="方正仿宋_GBK" w:cs="Times New Roman"/>
          <w:b/>
          <w:sz w:val="32"/>
        </w:rPr>
        <w:t>部门预算公开联系人：</w:t>
      </w:r>
      <w:r>
        <w:rPr>
          <w:rFonts w:hint="default" w:ascii="Times New Roman" w:hAnsi="Times New Roman" w:eastAsia="方正仿宋_GBK" w:cs="Times New Roman"/>
          <w:b/>
          <w:sz w:val="32"/>
          <w:lang w:eastAsia="zh-CN"/>
        </w:rPr>
        <w:t>田斯文</w:t>
      </w:r>
      <w:r>
        <w:rPr>
          <w:rFonts w:hint="default" w:ascii="Times New Roman" w:hAnsi="Times New Roman" w:eastAsia="方正仿宋_GBK" w:cs="Times New Roman"/>
          <w:b/>
          <w:sz w:val="32"/>
        </w:rPr>
        <w:t xml:space="preserve">  　</w:t>
      </w:r>
      <w:r>
        <w:rPr>
          <w:rFonts w:hint="default" w:ascii="Times New Roman" w:hAnsi="Times New Roman" w:eastAsia="方正仿宋_GBK" w:cs="Times New Roman"/>
          <w:b/>
          <w:sz w:val="32"/>
          <w:lang w:val="en-US" w:eastAsia="zh-CN"/>
        </w:rPr>
        <w:t xml:space="preserve">     </w:t>
      </w:r>
      <w:r>
        <w:rPr>
          <w:rFonts w:hint="default" w:ascii="Times New Roman" w:hAnsi="Times New Roman" w:eastAsia="方正仿宋_GBK" w:cs="Times New Roman"/>
          <w:b/>
          <w:sz w:val="32"/>
          <w:lang w:eastAsia="zh-CN"/>
        </w:rPr>
        <w:t>电话：</w:t>
      </w:r>
      <w:r>
        <w:rPr>
          <w:rFonts w:hint="default" w:ascii="Times New Roman" w:hAnsi="Times New Roman" w:eastAsia="方正仿宋_GBK" w:cs="Times New Roman"/>
          <w:b/>
          <w:sz w:val="32"/>
          <w:lang w:val="en-US" w:eastAsia="zh-CN"/>
        </w:rPr>
        <w:t>023-52440030</w:t>
      </w:r>
    </w:p>
    <w:p>
      <w:pPr>
        <w:pStyle w:val="7"/>
        <w:ind w:left="0" w:leftChars="0" w:firstLine="0" w:firstLineChars="0"/>
        <w:jc w:val="both"/>
        <w:rPr>
          <w:rFonts w:hint="default" w:ascii="Times New Roman" w:hAnsi="Times New Roman" w:eastAsia="方正仿宋_GBK" w:cs="Times New Roman"/>
          <w:b w:val="0"/>
          <w:bCs/>
          <w:sz w:val="32"/>
          <w:szCs w:val="32"/>
          <w:lang w:val="en-US" w:eastAsia="zh-CN"/>
        </w:rPr>
      </w:pPr>
    </w:p>
    <w:p>
      <w:pPr>
        <w:pStyle w:val="7"/>
        <w:jc w:val="right"/>
        <w:rPr>
          <w:rFonts w:hint="default" w:ascii="Times New Roman" w:hAnsi="Times New Roman" w:eastAsia="方正仿宋_GBK" w:cs="Times New Roman"/>
          <w:b w:val="0"/>
          <w:bCs/>
          <w:sz w:val="32"/>
          <w:szCs w:val="32"/>
          <w:lang w:val="en-US" w:eastAsia="zh-CN"/>
        </w:rPr>
      </w:pPr>
    </w:p>
    <w:p>
      <w:pPr>
        <w:pStyle w:val="7"/>
        <w:jc w:val="right"/>
        <w:rPr>
          <w:rFonts w:hint="default" w:ascii="Times New Roman" w:hAnsi="Times New Roman" w:eastAsia="方正仿宋_GBK" w:cs="Times New Roman"/>
          <w:b w:val="0"/>
          <w:bCs/>
          <w:sz w:val="32"/>
          <w:szCs w:val="32"/>
          <w:lang w:val="en-US" w:eastAsia="zh-CN"/>
        </w:rPr>
      </w:pPr>
    </w:p>
    <w:p>
      <w:pPr>
        <w:pStyle w:val="7"/>
        <w:jc w:val="right"/>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重庆市开州区大进镇中心卫生院</w:t>
      </w:r>
    </w:p>
    <w:p>
      <w:pPr>
        <w:pStyle w:val="7"/>
        <w:jc w:val="center"/>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 xml:space="preserve">                     2024年3月21日</w:t>
      </w:r>
    </w:p>
    <w:p>
      <w:pPr>
        <w:pStyle w:val="4"/>
        <w:jc w:val="right"/>
        <w:rPr>
          <w:rFonts w:hint="default" w:ascii="Times New Roman" w:hAnsi="Times New Roman" w:eastAsia="方正仿宋_GBK" w:cs="Times New Roman"/>
          <w:b w:val="0"/>
          <w:bCs/>
          <w:sz w:val="32"/>
          <w:szCs w:val="32"/>
          <w:lang w:val="en-US" w:eastAsia="zh-CN"/>
        </w:rPr>
      </w:pPr>
    </w:p>
    <w:p>
      <w:pPr>
        <w:pStyle w:val="5"/>
        <w:jc w:val="right"/>
        <w:rPr>
          <w:rFonts w:hint="default" w:ascii="Times New Roman" w:hAnsi="Times New Roman" w:eastAsia="方正仿宋_GBK" w:cs="Times New Roman"/>
          <w:b w:val="0"/>
          <w:bCs/>
          <w:sz w:val="32"/>
          <w:szCs w:val="32"/>
          <w:lang w:val="en-US" w:eastAsia="zh-CN"/>
        </w:rPr>
      </w:pPr>
    </w:p>
    <w:p>
      <w:pPr>
        <w:spacing w:line="620" w:lineRule="exact"/>
        <w:ind w:firstLine="2880" w:firstLineChars="900"/>
        <w:rPr>
          <w:rFonts w:hint="default" w:ascii="Times New Roman" w:hAnsi="Times New Roman" w:eastAsia="方正仿宋_GBK" w:cs="Times New Roman"/>
          <w:b w:val="0"/>
          <w:bCs/>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tbl>
      <w:tblPr>
        <w:tblStyle w:val="8"/>
        <w:tblpPr w:leftFromText="180" w:rightFromText="180" w:vertAnchor="text" w:horzAnchor="page" w:tblpX="1442" w:tblpY="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0" w:type="dxa"/>
            <w:tcBorders>
              <w:left w:val="nil"/>
              <w:right w:val="nil"/>
            </w:tcBorders>
            <w:noWrap w:val="0"/>
            <w:vAlign w:val="top"/>
          </w:tcPr>
          <w:p>
            <w:pPr>
              <w:keepNext w:val="0"/>
              <w:keepLines w:val="0"/>
              <w:pageBreakBefore w:val="0"/>
              <w:wordWrap/>
              <w:topLinePunct w:val="0"/>
              <w:bidi w:val="0"/>
              <w:spacing w:line="560" w:lineRule="exact"/>
              <w:ind w:left="0" w:right="0" w:firstLine="280" w:firstLineChars="100"/>
              <w:jc w:val="both"/>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重庆市开州区大进镇中心卫生院            2024年3月21日印发</w:t>
            </w:r>
          </w:p>
        </w:tc>
      </w:tr>
    </w:tbl>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321FE"/>
    <w:multiLevelType w:val="singleLevel"/>
    <w:tmpl w:val="4F8321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 w:name="KSO_WPS_MARK_KEY" w:val="00804c4a-928c-4a65-b0ed-67f342887c38"/>
  </w:docVars>
  <w:rsids>
    <w:rsidRoot w:val="00000000"/>
    <w:rsid w:val="0FF353F4"/>
    <w:rsid w:val="10EC6CAE"/>
    <w:rsid w:val="117561F1"/>
    <w:rsid w:val="1CE67A4B"/>
    <w:rsid w:val="1EC46219"/>
    <w:rsid w:val="1F60090C"/>
    <w:rsid w:val="2637307C"/>
    <w:rsid w:val="307D1957"/>
    <w:rsid w:val="33BC5B2D"/>
    <w:rsid w:val="36AE738B"/>
    <w:rsid w:val="36F962FF"/>
    <w:rsid w:val="39551AA9"/>
    <w:rsid w:val="3DB66A64"/>
    <w:rsid w:val="446750FC"/>
    <w:rsid w:val="47D410C6"/>
    <w:rsid w:val="4A9518CD"/>
    <w:rsid w:val="4D44064B"/>
    <w:rsid w:val="5B085C94"/>
    <w:rsid w:val="5EAF1783"/>
    <w:rsid w:val="60F3568E"/>
    <w:rsid w:val="63610D97"/>
    <w:rsid w:val="65F367E0"/>
    <w:rsid w:val="6E217E67"/>
    <w:rsid w:val="70991065"/>
    <w:rsid w:val="73B55359"/>
    <w:rsid w:val="7ADD2CCB"/>
    <w:rsid w:val="7BD16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5"/>
      <w:szCs w:val="35"/>
      <w:lang w:val="en-US" w:eastAsia="en-US" w:bidi="ar-SA"/>
    </w:rPr>
  </w:style>
  <w:style w:type="paragraph" w:styleId="3">
    <w:name w:val="Body Text Indent"/>
    <w:basedOn w:val="1"/>
    <w:autoRedefine/>
    <w:qFormat/>
    <w:uiPriority w:val="0"/>
    <w:pPr>
      <w:spacing w:after="120"/>
      <w:ind w:left="420" w:leftChars="200"/>
    </w:pPr>
  </w:style>
  <w:style w:type="paragraph" w:styleId="4">
    <w:name w:val="footer"/>
    <w:basedOn w:val="1"/>
    <w:next w:val="5"/>
    <w:autoRedefine/>
    <w:qFormat/>
    <w:uiPriority w:val="99"/>
    <w:pPr>
      <w:tabs>
        <w:tab w:val="center" w:pos="4153"/>
        <w:tab w:val="right" w:pos="8306"/>
      </w:tabs>
      <w:snapToGrid w:val="0"/>
      <w:jc w:val="left"/>
    </w:pPr>
    <w:rPr>
      <w:sz w:val="18"/>
      <w:szCs w:val="18"/>
    </w:rPr>
  </w:style>
  <w:style w:type="paragraph" w:customStyle="1" w:styleId="5">
    <w:name w:val="索引 51"/>
    <w:basedOn w:val="1"/>
    <w:next w:val="1"/>
    <w:autoRedefine/>
    <w:qFormat/>
    <w:uiPriority w:val="0"/>
    <w:pPr>
      <w:ind w:left="1680"/>
    </w:p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autoRedefine/>
    <w:qFormat/>
    <w:uiPriority w:val="0"/>
    <w:pPr>
      <w:spacing w:after="0" w:line="360" w:lineRule="auto"/>
      <w:ind w:left="0" w:leftChars="0" w:firstLine="1040" w:firstLineChars="200"/>
    </w:pPr>
    <w:rPr>
      <w:rFonts w:eastAsia="仿宋_GB2312"/>
      <w:sz w:val="24"/>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2189</Words>
  <Characters>2382</Characters>
  <Lines>0</Lines>
  <Paragraphs>0</Paragraphs>
  <TotalTime>1</TotalTime>
  <ScaleCrop>false</ScaleCrop>
  <LinksUpToDate>false</LinksUpToDate>
  <CharactersWithSpaces>2465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2022-02-10T08:03:00Z</dcterms:created>
  <dc:creator>Administrator</dc:creator>
  <cp:lastModifiedBy>Administrator</cp:lastModifiedBy>
  <cp:lastPrinted>2024-03-07T00:38:00Z</cp:lastPrinted>
  <dcterms:modified xsi:type="dcterms:W3CDTF">2024-03-29T01:43:33Z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9A459F7A7133432AABE83DF3CD6FC34F_13</vt:lpwstr>
  </property>
</Properties>
</file>