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1" w:rightFromText="181" w:horzAnchor="margin" w:tblpXSpec="center" w:tblpYSpec="top"/>
        <w:tblW w:w="9117" w:type="dxa"/>
        <w:jc w:val="center"/>
        <w:tblInd w:w="0" w:type="dxa"/>
        <w:tblLayout w:type="fixed"/>
        <w:tblCellMar>
          <w:top w:w="0" w:type="dxa"/>
          <w:left w:w="108" w:type="dxa"/>
          <w:bottom w:w="0" w:type="dxa"/>
          <w:right w:w="108" w:type="dxa"/>
        </w:tblCellMar>
      </w:tblPr>
      <w:tblGrid>
        <w:gridCol w:w="9117"/>
      </w:tblGrid>
      <w:tr>
        <w:tblPrEx>
          <w:tblLayout w:type="fixed"/>
          <w:tblCellMar>
            <w:top w:w="0" w:type="dxa"/>
            <w:left w:w="108" w:type="dxa"/>
            <w:bottom w:w="0" w:type="dxa"/>
            <w:right w:w="108" w:type="dxa"/>
          </w:tblCellMar>
        </w:tblPrEx>
        <w:trPr>
          <w:trHeight w:val="600" w:hRule="atLeast"/>
          <w:jc w:val="center"/>
        </w:trPr>
        <w:tc>
          <w:tcPr>
            <w:tcW w:w="9117" w:type="dxa"/>
          </w:tcPr>
          <w:p>
            <w:pPr>
              <w:spacing w:line="600" w:lineRule="exact"/>
              <w:rPr>
                <w:rFonts w:eastAsia="方正黑体_GBK"/>
                <w:sz w:val="32"/>
                <w:szCs w:val="32"/>
              </w:rPr>
            </w:pPr>
            <w:bookmarkStart w:id="0" w:name="_GoBack"/>
            <w:bookmarkEnd w:id="0"/>
          </w:p>
        </w:tc>
      </w:tr>
      <w:tr>
        <w:tblPrEx>
          <w:tblLayout w:type="fixed"/>
          <w:tblCellMar>
            <w:top w:w="0" w:type="dxa"/>
            <w:left w:w="108" w:type="dxa"/>
            <w:bottom w:w="0" w:type="dxa"/>
            <w:right w:w="108" w:type="dxa"/>
          </w:tblCellMar>
        </w:tblPrEx>
        <w:trPr>
          <w:trHeight w:val="600" w:hRule="atLeast"/>
          <w:jc w:val="center"/>
        </w:trPr>
        <w:tc>
          <w:tcPr>
            <w:tcW w:w="9117" w:type="dxa"/>
          </w:tcPr>
          <w:p>
            <w:pPr>
              <w:spacing w:line="600" w:lineRule="exact"/>
              <w:rPr>
                <w:rFonts w:eastAsia="方正黑体_GBK"/>
                <w:szCs w:val="32"/>
              </w:rPr>
            </w:pPr>
          </w:p>
        </w:tc>
      </w:tr>
      <w:tr>
        <w:tblPrEx>
          <w:tblLayout w:type="fixed"/>
          <w:tblCellMar>
            <w:top w:w="0" w:type="dxa"/>
            <w:left w:w="108" w:type="dxa"/>
            <w:bottom w:w="0" w:type="dxa"/>
            <w:right w:w="108" w:type="dxa"/>
          </w:tblCellMar>
        </w:tblPrEx>
        <w:trPr>
          <w:trHeight w:val="851" w:hRule="exact"/>
          <w:jc w:val="center"/>
        </w:trPr>
        <w:tc>
          <w:tcPr>
            <w:tcW w:w="9117" w:type="dxa"/>
            <w:vAlign w:val="center"/>
          </w:tcPr>
          <w:p>
            <w:pPr>
              <w:jc w:val="center"/>
              <w:rPr>
                <w:rFonts w:eastAsia="方正小标宋简体"/>
                <w:w w:val="80"/>
              </w:rPr>
            </w:pPr>
          </w:p>
        </w:tc>
      </w:tr>
      <w:tr>
        <w:tblPrEx>
          <w:tblLayout w:type="fixed"/>
          <w:tblCellMar>
            <w:top w:w="0" w:type="dxa"/>
            <w:left w:w="108" w:type="dxa"/>
            <w:bottom w:w="0" w:type="dxa"/>
            <w:right w:w="108" w:type="dxa"/>
          </w:tblCellMar>
        </w:tblPrEx>
        <w:trPr>
          <w:trHeight w:val="2495" w:hRule="exact"/>
          <w:jc w:val="center"/>
        </w:trPr>
        <w:tc>
          <w:tcPr>
            <w:tcW w:w="9117" w:type="dxa"/>
            <w:vAlign w:val="center"/>
          </w:tcPr>
          <w:p>
            <w:pPr>
              <w:jc w:val="center"/>
              <w:rPr>
                <w:rFonts w:eastAsia="方正小标宋_GBK"/>
                <w:color w:val="FF0000"/>
                <w:spacing w:val="-40"/>
                <w:w w:val="50"/>
                <w:kern w:val="4"/>
                <w:sz w:val="120"/>
                <w:szCs w:val="120"/>
              </w:rPr>
            </w:pPr>
            <w:r>
              <w:rPr>
                <w:rFonts w:eastAsia="方正小标宋_GBK"/>
                <w:color w:val="FF0000"/>
                <w:spacing w:val="-40"/>
                <w:w w:val="50"/>
                <w:kern w:val="4"/>
                <w:sz w:val="120"/>
                <w:szCs w:val="120"/>
              </w:rPr>
              <w:t>中共重庆市开州区纪律检查委员会文件</w:t>
            </w:r>
          </w:p>
        </w:tc>
      </w:tr>
      <w:tr>
        <w:tblPrEx>
          <w:tblLayout w:type="fixed"/>
          <w:tblCellMar>
            <w:top w:w="0" w:type="dxa"/>
            <w:left w:w="108" w:type="dxa"/>
            <w:bottom w:w="0" w:type="dxa"/>
            <w:right w:w="108" w:type="dxa"/>
          </w:tblCellMar>
        </w:tblPrEx>
        <w:trPr>
          <w:trHeight w:val="1361" w:hRule="exact"/>
          <w:jc w:val="center"/>
        </w:trPr>
        <w:tc>
          <w:tcPr>
            <w:tcW w:w="9117" w:type="dxa"/>
            <w:vAlign w:val="bottom"/>
          </w:tcPr>
          <w:p>
            <w:pPr>
              <w:jc w:val="center"/>
              <w:rPr>
                <w:rFonts w:eastAsia="方正仿宋_GBK"/>
                <w:sz w:val="32"/>
                <w:szCs w:val="32"/>
              </w:rPr>
            </w:pPr>
            <w:r>
              <w:rPr>
                <w:rFonts w:eastAsia="方正仿宋_GBK"/>
                <w:sz w:val="32"/>
                <w:szCs w:val="32"/>
              </w:rPr>
              <w:t>开州纪发〔2024〕6号                  签发人：陈 勇</w:t>
            </w:r>
          </w:p>
          <w:p>
            <w:pPr>
              <w:spacing w:line="540" w:lineRule="exact"/>
              <w:jc w:val="center"/>
              <w:rPr>
                <w:color w:val="FF0000"/>
                <w:sz w:val="52"/>
                <w:szCs w:val="52"/>
              </w:rPr>
            </w:pPr>
            <w:r>
              <w:pict>
                <v:line id="直线 4" o:spid="_x0000_s2050" o:spt="20" style="position:absolute;left:0pt;margin-left:241.5pt;margin-top:14.5pt;height:0pt;width:204.6pt;z-index:251657216;mso-width-relative:page;mso-height-relative:page;" stroked="t" coordsize="21600,21600">
                  <v:path arrowok="t"/>
                  <v:fill focussize="0,0"/>
                  <v:stroke weight="2.25pt" color="#FF0000"/>
                  <v:imagedata o:title=""/>
                  <o:lock v:ext="edit"/>
                </v:line>
              </w:pict>
            </w:r>
            <w:r>
              <w:pict>
                <v:line id="直线 5" o:spid="_x0000_s2051" o:spt="20" style="position:absolute;left:0pt;margin-left:-5.65pt;margin-top:13.65pt;height:0pt;width:199.7pt;z-index:251658240;mso-width-relative:page;mso-height-relative:page;" stroked="t" coordsize="21600,21600">
                  <v:path arrowok="t"/>
                  <v:fill focussize="0,0"/>
                  <v:stroke weight="2.25pt" color="#FF0000"/>
                  <v:imagedata o:title=""/>
                  <o:lock v:ext="edit"/>
                </v:line>
              </w:pict>
            </w:r>
            <w:r>
              <w:rPr>
                <w:rFonts w:hAnsi="宋体"/>
                <w:b/>
                <w:color w:val="FF0000"/>
                <w:sz w:val="52"/>
                <w:szCs w:val="52"/>
              </w:rPr>
              <w:t>★</w:t>
            </w:r>
          </w:p>
        </w:tc>
      </w:tr>
    </w:tbl>
    <w:p>
      <w:pPr>
        <w:pStyle w:val="2"/>
        <w:adjustRightInd w:val="0"/>
        <w:snapToGrid w:val="0"/>
        <w:spacing w:line="580" w:lineRule="exact"/>
        <w:jc w:val="center"/>
        <w:rPr>
          <w:rFonts w:eastAsia="方正小标宋_GBK"/>
          <w:bCs/>
          <w:sz w:val="44"/>
          <w:szCs w:val="44"/>
        </w:rPr>
      </w:pPr>
    </w:p>
    <w:p>
      <w:pPr>
        <w:adjustRightInd w:val="0"/>
        <w:snapToGrid w:val="0"/>
        <w:spacing w:line="594" w:lineRule="exact"/>
        <w:jc w:val="center"/>
        <w:rPr>
          <w:rFonts w:eastAsia="方正小标宋_GBK"/>
          <w:bCs/>
          <w:snapToGrid w:val="0"/>
          <w:kern w:val="0"/>
          <w:sz w:val="44"/>
          <w:szCs w:val="44"/>
        </w:rPr>
      </w:pPr>
      <w:r>
        <w:rPr>
          <w:rFonts w:eastAsia="方正小标宋_GBK"/>
          <w:bCs/>
          <w:snapToGrid w:val="0"/>
          <w:kern w:val="0"/>
          <w:sz w:val="44"/>
          <w:szCs w:val="44"/>
        </w:rPr>
        <w:t>中共重庆市开州区纪委</w:t>
      </w:r>
    </w:p>
    <w:p>
      <w:pPr>
        <w:spacing w:line="594" w:lineRule="exact"/>
        <w:jc w:val="center"/>
        <w:rPr>
          <w:rFonts w:eastAsia="方正小标宋_GBK"/>
          <w:sz w:val="44"/>
          <w:szCs w:val="44"/>
        </w:rPr>
      </w:pPr>
      <w:r>
        <w:rPr>
          <w:rFonts w:eastAsia="方正小标宋_GBK"/>
          <w:sz w:val="44"/>
          <w:szCs w:val="44"/>
        </w:rPr>
        <w:t>关于2024年部门预算情况公开的公告</w:t>
      </w:r>
    </w:p>
    <w:p>
      <w:pPr>
        <w:spacing w:line="594" w:lineRule="exact"/>
        <w:jc w:val="center"/>
        <w:rPr>
          <w:rFonts w:eastAsia="方正小标宋_GBK"/>
          <w:sz w:val="44"/>
          <w:szCs w:val="44"/>
        </w:rPr>
      </w:pPr>
    </w:p>
    <w:p>
      <w:pPr>
        <w:spacing w:line="594"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重庆市开州区财政局《关于批复区纪委2024年区级部门预算的通知》（开州财行发〔2024〕22号）,现将重庆市开州区纪委监委技术保障中心2024年部门预算批复情况公开如下：</w:t>
      </w:r>
    </w:p>
    <w:p>
      <w:pPr>
        <w:spacing w:line="594" w:lineRule="exact"/>
        <w:jc w:val="center"/>
        <w:rPr>
          <w:rFonts w:eastAsia="方正黑体_GBK"/>
          <w:sz w:val="32"/>
          <w:szCs w:val="32"/>
        </w:rPr>
      </w:pPr>
    </w:p>
    <w:p>
      <w:pPr>
        <w:spacing w:line="594" w:lineRule="exact"/>
        <w:jc w:val="center"/>
        <w:rPr>
          <w:rFonts w:eastAsia="方正黑体_GBK"/>
          <w:sz w:val="32"/>
          <w:szCs w:val="32"/>
        </w:rPr>
      </w:pPr>
    </w:p>
    <w:p>
      <w:pPr>
        <w:widowControl/>
        <w:jc w:val="left"/>
        <w:rPr>
          <w:rFonts w:eastAsia="方正小标宋_GBK"/>
          <w:sz w:val="44"/>
          <w:szCs w:val="44"/>
        </w:rPr>
      </w:pPr>
      <w:r>
        <w:rPr>
          <w:rFonts w:eastAsia="方正小标宋_GBK"/>
          <w:sz w:val="44"/>
          <w:szCs w:val="44"/>
        </w:rPr>
        <w:br w:type="page"/>
      </w:r>
    </w:p>
    <w:p>
      <w:pPr>
        <w:spacing w:line="594" w:lineRule="exact"/>
        <w:jc w:val="center"/>
        <w:rPr>
          <w:rFonts w:eastAsia="方正小标宋_GBK"/>
          <w:sz w:val="44"/>
          <w:szCs w:val="44"/>
        </w:rPr>
      </w:pPr>
      <w:r>
        <w:rPr>
          <w:rFonts w:eastAsia="方正小标宋_GBK"/>
          <w:sz w:val="44"/>
          <w:szCs w:val="44"/>
        </w:rPr>
        <w:t>目    录</w:t>
      </w:r>
    </w:p>
    <w:p>
      <w:pPr>
        <w:spacing w:line="594" w:lineRule="exact"/>
      </w:pPr>
    </w:p>
    <w:p>
      <w:pPr>
        <w:spacing w:line="594" w:lineRule="exact"/>
        <w:jc w:val="center"/>
        <w:rPr>
          <w:rFonts w:eastAsia="方正楷体_GBK"/>
          <w:sz w:val="32"/>
          <w:szCs w:val="32"/>
        </w:rPr>
      </w:pPr>
      <w:r>
        <w:rPr>
          <w:rFonts w:eastAsia="方正楷体_GBK"/>
          <w:sz w:val="32"/>
          <w:szCs w:val="32"/>
        </w:rPr>
        <w:t>第一部分：2024年部门预算情况说明</w:t>
      </w:r>
    </w:p>
    <w:p>
      <w:pPr>
        <w:spacing w:line="594" w:lineRule="exact"/>
      </w:pPr>
    </w:p>
    <w:p>
      <w:pPr>
        <w:spacing w:line="594" w:lineRule="exact"/>
        <w:rPr>
          <w:rFonts w:eastAsia="方正仿宋_GBK"/>
          <w:sz w:val="32"/>
          <w:szCs w:val="32"/>
        </w:rPr>
      </w:pPr>
      <w:r>
        <w:rPr>
          <w:rFonts w:eastAsia="方正仿宋_GBK"/>
          <w:sz w:val="32"/>
          <w:szCs w:val="32"/>
        </w:rPr>
        <w:t xml:space="preserve">    一、单位基本情况</w:t>
      </w:r>
    </w:p>
    <w:p>
      <w:pPr>
        <w:spacing w:line="594" w:lineRule="exact"/>
        <w:rPr>
          <w:rFonts w:eastAsia="方正仿宋_GBK"/>
          <w:sz w:val="32"/>
          <w:szCs w:val="32"/>
        </w:rPr>
      </w:pPr>
      <w:r>
        <w:rPr>
          <w:rFonts w:eastAsia="方正仿宋_GBK"/>
          <w:sz w:val="32"/>
          <w:szCs w:val="32"/>
        </w:rPr>
        <w:t xml:space="preserve">    二、部门收支总体情况</w:t>
      </w:r>
    </w:p>
    <w:p>
      <w:pPr>
        <w:spacing w:line="594" w:lineRule="exact"/>
        <w:rPr>
          <w:rFonts w:eastAsia="方正仿宋_GBK"/>
          <w:sz w:val="32"/>
          <w:szCs w:val="32"/>
        </w:rPr>
      </w:pPr>
      <w:r>
        <w:rPr>
          <w:rFonts w:eastAsia="方正仿宋_GBK"/>
          <w:sz w:val="32"/>
          <w:szCs w:val="32"/>
        </w:rPr>
        <w:t xml:space="preserve">    三、部门预算情况说明</w:t>
      </w:r>
    </w:p>
    <w:p>
      <w:pPr>
        <w:spacing w:line="594" w:lineRule="exact"/>
        <w:rPr>
          <w:rFonts w:eastAsia="方正仿宋_GBK"/>
          <w:sz w:val="32"/>
          <w:szCs w:val="32"/>
        </w:rPr>
      </w:pPr>
      <w:r>
        <w:rPr>
          <w:rFonts w:eastAsia="方正仿宋_GBK"/>
          <w:sz w:val="32"/>
          <w:szCs w:val="32"/>
        </w:rPr>
        <w:t xml:space="preserve">    四、“三公”经费情况说明</w:t>
      </w:r>
    </w:p>
    <w:p>
      <w:pPr>
        <w:spacing w:line="594" w:lineRule="exact"/>
        <w:rPr>
          <w:rFonts w:eastAsia="方正仿宋_GBK"/>
          <w:sz w:val="32"/>
          <w:szCs w:val="32"/>
        </w:rPr>
      </w:pPr>
      <w:r>
        <w:rPr>
          <w:rFonts w:eastAsia="方正仿宋_GBK"/>
          <w:sz w:val="32"/>
          <w:szCs w:val="32"/>
        </w:rPr>
        <w:t xml:space="preserve">    五、其他重要事项的情况说明</w:t>
      </w:r>
    </w:p>
    <w:p>
      <w:pPr>
        <w:spacing w:line="594" w:lineRule="exact"/>
        <w:rPr>
          <w:rFonts w:eastAsia="方正仿宋_GBK"/>
          <w:sz w:val="32"/>
          <w:szCs w:val="32"/>
        </w:rPr>
      </w:pPr>
      <w:r>
        <w:rPr>
          <w:rFonts w:eastAsia="方正仿宋_GBK"/>
          <w:sz w:val="32"/>
          <w:szCs w:val="32"/>
        </w:rPr>
        <w:t xml:space="preserve">    六、专业性名词解释</w:t>
      </w:r>
    </w:p>
    <w:p>
      <w:pPr>
        <w:spacing w:line="594" w:lineRule="exact"/>
        <w:rPr>
          <w:rFonts w:eastAsia="方正仿宋_GBK"/>
          <w:sz w:val="32"/>
          <w:szCs w:val="32"/>
        </w:rPr>
      </w:pPr>
    </w:p>
    <w:p>
      <w:pPr>
        <w:spacing w:line="594" w:lineRule="exact"/>
        <w:jc w:val="center"/>
      </w:pPr>
      <w:r>
        <w:rPr>
          <w:rFonts w:eastAsia="方正楷体_GBK"/>
          <w:sz w:val="32"/>
          <w:szCs w:val="32"/>
        </w:rPr>
        <w:t>第二部分：2024年部门预算公开报表</w:t>
      </w:r>
    </w:p>
    <w:p>
      <w:pPr>
        <w:spacing w:line="594" w:lineRule="exact"/>
      </w:pPr>
    </w:p>
    <w:p>
      <w:pPr>
        <w:spacing w:line="594" w:lineRule="exact"/>
        <w:rPr>
          <w:rFonts w:eastAsia="方正仿宋_GBK"/>
          <w:sz w:val="32"/>
          <w:szCs w:val="32"/>
        </w:rPr>
      </w:pPr>
      <w:r>
        <w:rPr>
          <w:rFonts w:eastAsia="方正仿宋_GBK"/>
          <w:sz w:val="32"/>
          <w:szCs w:val="32"/>
        </w:rPr>
        <w:t xml:space="preserve">    表1、重庆市开州区纪委监委技术保障中心收支预算总表</w:t>
      </w:r>
    </w:p>
    <w:p>
      <w:pPr>
        <w:spacing w:line="594" w:lineRule="exact"/>
        <w:rPr>
          <w:rFonts w:eastAsia="方正仿宋_GBK"/>
          <w:sz w:val="32"/>
          <w:szCs w:val="32"/>
        </w:rPr>
      </w:pPr>
      <w:r>
        <w:rPr>
          <w:rFonts w:eastAsia="方正仿宋_GBK"/>
          <w:sz w:val="32"/>
          <w:szCs w:val="32"/>
        </w:rPr>
        <w:t xml:space="preserve">    表2、重庆市开州区纪委监委技术保障中心收入总表</w:t>
      </w:r>
    </w:p>
    <w:p>
      <w:pPr>
        <w:spacing w:line="594" w:lineRule="exact"/>
        <w:rPr>
          <w:rFonts w:eastAsia="方正仿宋_GBK"/>
          <w:sz w:val="32"/>
          <w:szCs w:val="32"/>
        </w:rPr>
      </w:pPr>
      <w:r>
        <w:rPr>
          <w:rFonts w:eastAsia="方正仿宋_GBK"/>
          <w:sz w:val="32"/>
          <w:szCs w:val="32"/>
        </w:rPr>
        <w:t xml:space="preserve">    表3、重庆市开州区纪委监委技术保障中心本年支出预算总 表</w:t>
      </w:r>
    </w:p>
    <w:p>
      <w:pPr>
        <w:spacing w:line="594" w:lineRule="exact"/>
        <w:rPr>
          <w:rFonts w:eastAsia="方正仿宋_GBK"/>
          <w:sz w:val="32"/>
          <w:szCs w:val="32"/>
        </w:rPr>
      </w:pPr>
      <w:r>
        <w:rPr>
          <w:rFonts w:eastAsia="方正仿宋_GBK"/>
          <w:sz w:val="32"/>
          <w:szCs w:val="32"/>
        </w:rPr>
        <w:t xml:space="preserve">    表4、重庆市开州区纪委监委技术保障中心财政拨款收支预算总表</w:t>
      </w:r>
    </w:p>
    <w:p>
      <w:pPr>
        <w:spacing w:line="594" w:lineRule="exact"/>
        <w:rPr>
          <w:rFonts w:eastAsia="方正仿宋_GBK"/>
          <w:sz w:val="32"/>
          <w:szCs w:val="32"/>
        </w:rPr>
      </w:pPr>
      <w:r>
        <w:rPr>
          <w:rFonts w:eastAsia="方正仿宋_GBK"/>
          <w:sz w:val="32"/>
          <w:szCs w:val="32"/>
        </w:rPr>
        <w:t xml:space="preserve">    表5、重庆市开州区纪委监委技术保障中心本年一般公共预算支出预算表</w:t>
      </w:r>
    </w:p>
    <w:p>
      <w:pPr>
        <w:spacing w:line="594" w:lineRule="exact"/>
        <w:rPr>
          <w:rFonts w:eastAsia="方正仿宋_GBK"/>
          <w:sz w:val="32"/>
          <w:szCs w:val="32"/>
        </w:rPr>
      </w:pPr>
      <w:r>
        <w:rPr>
          <w:rFonts w:eastAsia="方正仿宋_GBK"/>
          <w:sz w:val="32"/>
          <w:szCs w:val="32"/>
        </w:rPr>
        <w:t xml:space="preserve">    表6、重庆市开州区纪委监委技术保障中心一般公共预算基本支出预算表</w:t>
      </w:r>
    </w:p>
    <w:p>
      <w:pPr>
        <w:spacing w:line="594" w:lineRule="exact"/>
        <w:rPr>
          <w:rFonts w:eastAsia="方正仿宋_GBK"/>
          <w:sz w:val="32"/>
          <w:szCs w:val="32"/>
        </w:rPr>
      </w:pPr>
      <w:r>
        <w:rPr>
          <w:rFonts w:eastAsia="方正仿宋_GBK"/>
          <w:sz w:val="32"/>
          <w:szCs w:val="32"/>
        </w:rPr>
        <w:t xml:space="preserve">    表7、重庆市开州区纪委监委技术保障中心一般公共预算“三公”经费支出预算表</w:t>
      </w:r>
    </w:p>
    <w:p>
      <w:pPr>
        <w:spacing w:line="594" w:lineRule="exact"/>
        <w:rPr>
          <w:rFonts w:eastAsia="方正仿宋_GBK"/>
          <w:sz w:val="32"/>
          <w:szCs w:val="32"/>
        </w:rPr>
      </w:pPr>
      <w:r>
        <w:rPr>
          <w:rFonts w:eastAsia="方正仿宋_GBK"/>
          <w:sz w:val="32"/>
          <w:szCs w:val="32"/>
        </w:rPr>
        <w:t xml:space="preserve">    表8、重庆市开州区纪委监委技术保障中心政府性基金预算支出预算表</w:t>
      </w:r>
    </w:p>
    <w:p>
      <w:pPr>
        <w:spacing w:line="594" w:lineRule="exact"/>
        <w:rPr>
          <w:rFonts w:eastAsia="方正仿宋_GBK"/>
          <w:sz w:val="32"/>
          <w:szCs w:val="32"/>
        </w:rPr>
      </w:pPr>
      <w:r>
        <w:rPr>
          <w:rFonts w:eastAsia="方正仿宋_GBK"/>
          <w:sz w:val="32"/>
          <w:szCs w:val="32"/>
        </w:rPr>
        <w:t xml:space="preserve">    表9、重庆市开州区纪委监委技术保障中心国有资本经营预算支出预算表</w:t>
      </w:r>
    </w:p>
    <w:p>
      <w:pPr>
        <w:spacing w:line="594" w:lineRule="exact"/>
        <w:rPr>
          <w:rFonts w:eastAsia="方正仿宋_GBK"/>
          <w:sz w:val="32"/>
          <w:szCs w:val="32"/>
        </w:rPr>
      </w:pPr>
      <w:r>
        <w:rPr>
          <w:rFonts w:eastAsia="方正仿宋_GBK"/>
          <w:sz w:val="32"/>
          <w:szCs w:val="32"/>
        </w:rPr>
        <w:t xml:space="preserve">    表10、重庆市开州区纪委监委技术保障中心项目支出表</w:t>
      </w:r>
    </w:p>
    <w:p>
      <w:pPr>
        <w:spacing w:line="594" w:lineRule="exact"/>
        <w:rPr>
          <w:rFonts w:eastAsia="方正仿宋_GBK"/>
          <w:sz w:val="32"/>
          <w:szCs w:val="32"/>
        </w:rPr>
      </w:pPr>
      <w:r>
        <w:rPr>
          <w:rFonts w:eastAsia="方正仿宋_GBK"/>
          <w:sz w:val="32"/>
          <w:szCs w:val="32"/>
        </w:rPr>
        <w:t xml:space="preserve">    表11、重庆市开州区纪委监委技术保障中心项目绩效目标表</w:t>
      </w:r>
    </w:p>
    <w:p>
      <w:pPr>
        <w:spacing w:line="594" w:lineRule="exact"/>
        <w:rPr>
          <w:rFonts w:eastAsia="方正仿宋_GBK"/>
          <w:sz w:val="32"/>
          <w:szCs w:val="32"/>
        </w:rPr>
      </w:pPr>
      <w:r>
        <w:rPr>
          <w:rFonts w:eastAsia="方正仿宋_GBK"/>
          <w:sz w:val="32"/>
          <w:szCs w:val="32"/>
        </w:rPr>
        <w:t xml:space="preserve">    </w:t>
      </w: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pPr>
    </w:p>
    <w:p>
      <w:pPr>
        <w:spacing w:line="594" w:lineRule="exact"/>
        <w:jc w:val="center"/>
        <w:rPr>
          <w:rFonts w:eastAsia="方正小标宋_GBK"/>
          <w:sz w:val="44"/>
          <w:szCs w:val="44"/>
        </w:rPr>
      </w:pPr>
      <w:r>
        <w:rPr>
          <w:rFonts w:eastAsia="方正小标宋_GBK"/>
          <w:sz w:val="44"/>
          <w:szCs w:val="44"/>
        </w:rPr>
        <w:br w:type="page"/>
      </w:r>
      <w:r>
        <w:rPr>
          <w:rFonts w:eastAsia="方正小标宋_GBK"/>
          <w:sz w:val="44"/>
          <w:szCs w:val="44"/>
        </w:rPr>
        <w:t>第一部分：2024年部门预算情况说明</w:t>
      </w:r>
    </w:p>
    <w:p>
      <w:pPr>
        <w:spacing w:line="594" w:lineRule="exact"/>
        <w:ind w:firstLine="880" w:firstLineChars="200"/>
        <w:jc w:val="center"/>
        <w:rPr>
          <w:rFonts w:eastAsia="华文中宋"/>
          <w:sz w:val="44"/>
          <w:szCs w:val="44"/>
        </w:rPr>
      </w:pPr>
    </w:p>
    <w:p>
      <w:pPr>
        <w:spacing w:line="594" w:lineRule="exact"/>
        <w:ind w:left="640"/>
        <w:rPr>
          <w:rFonts w:eastAsia="方正黑体_GBK"/>
          <w:sz w:val="32"/>
        </w:rPr>
      </w:pPr>
      <w:r>
        <w:rPr>
          <w:rFonts w:eastAsia="方正黑体_GBK"/>
          <w:sz w:val="32"/>
        </w:rPr>
        <w:t>一、单位基本情况</w:t>
      </w:r>
    </w:p>
    <w:p>
      <w:pPr>
        <w:spacing w:line="594" w:lineRule="exact"/>
        <w:ind w:firstLine="640" w:firstLineChars="200"/>
        <w:rPr>
          <w:rFonts w:eastAsia="方正楷体_GBK"/>
          <w:sz w:val="32"/>
        </w:rPr>
      </w:pPr>
      <w:r>
        <w:rPr>
          <w:rFonts w:eastAsia="方正楷体_GBK"/>
          <w:sz w:val="32"/>
        </w:rPr>
        <w:t>（一）职能职责</w:t>
      </w:r>
    </w:p>
    <w:p>
      <w:pPr>
        <w:spacing w:line="594" w:lineRule="exact"/>
        <w:ind w:firstLine="640" w:firstLineChars="200"/>
        <w:rPr>
          <w:rFonts w:eastAsia="方正仿宋_GBK"/>
          <w:sz w:val="32"/>
          <w:szCs w:val="32"/>
        </w:rPr>
      </w:pPr>
      <w:r>
        <w:rPr>
          <w:rFonts w:eastAsia="方正仿宋_GBK"/>
          <w:sz w:val="32"/>
          <w:szCs w:val="32"/>
        </w:rPr>
        <w:t>为纪检监察工作提供保障和服务。</w:t>
      </w:r>
    </w:p>
    <w:p>
      <w:pPr>
        <w:spacing w:line="594" w:lineRule="exact"/>
        <w:ind w:firstLine="640" w:firstLineChars="200"/>
        <w:rPr>
          <w:rFonts w:eastAsia="方正仿宋_GBK"/>
          <w:sz w:val="32"/>
          <w:szCs w:val="32"/>
        </w:rPr>
      </w:pPr>
      <w:r>
        <w:rPr>
          <w:rFonts w:eastAsia="方正仿宋_GBK"/>
          <w:sz w:val="32"/>
          <w:szCs w:val="32"/>
        </w:rPr>
        <w:t>主要职责：</w:t>
      </w:r>
    </w:p>
    <w:p>
      <w:pPr>
        <w:spacing w:line="594" w:lineRule="exact"/>
        <w:ind w:firstLine="800" w:firstLineChars="250"/>
        <w:rPr>
          <w:rFonts w:eastAsia="方正仿宋_GBK"/>
          <w:sz w:val="32"/>
          <w:szCs w:val="32"/>
        </w:rPr>
      </w:pPr>
      <w:r>
        <w:rPr>
          <w:rFonts w:eastAsia="方正仿宋_GBK"/>
          <w:sz w:val="32"/>
          <w:szCs w:val="32"/>
        </w:rPr>
        <w:t>1．负责区纪委监委机关信息化建设的具体规划和实施，协助指导全区纪检监察组织信息化建设。</w:t>
      </w:r>
    </w:p>
    <w:p>
      <w:pPr>
        <w:spacing w:line="594" w:lineRule="exact"/>
        <w:ind w:firstLine="800" w:firstLineChars="250"/>
        <w:rPr>
          <w:rFonts w:eastAsia="方正仿宋_GBK"/>
          <w:sz w:val="32"/>
          <w:szCs w:val="32"/>
        </w:rPr>
      </w:pPr>
      <w:r>
        <w:rPr>
          <w:rFonts w:eastAsia="方正仿宋_GBK"/>
          <w:sz w:val="32"/>
          <w:szCs w:val="32"/>
        </w:rPr>
        <w:t>2．负责为执纪监察工作提供信息技术保障。</w:t>
      </w:r>
    </w:p>
    <w:p>
      <w:pPr>
        <w:spacing w:line="594" w:lineRule="exact"/>
        <w:ind w:firstLine="800" w:firstLineChars="250"/>
        <w:rPr>
          <w:rFonts w:eastAsia="方正仿宋_GBK"/>
          <w:sz w:val="32"/>
          <w:szCs w:val="32"/>
        </w:rPr>
      </w:pPr>
      <w:r>
        <w:rPr>
          <w:rFonts w:eastAsia="方正仿宋_GBK"/>
          <w:sz w:val="32"/>
          <w:szCs w:val="32"/>
        </w:rPr>
        <w:t>3．负责留置场所、谈话点设施设备的管理维护。</w:t>
      </w:r>
    </w:p>
    <w:p>
      <w:pPr>
        <w:pStyle w:val="11"/>
        <w:tabs>
          <w:tab w:val="center" w:pos="4153"/>
          <w:tab w:val="left" w:pos="7275"/>
        </w:tabs>
        <w:spacing w:line="594" w:lineRule="exact"/>
        <w:ind w:left="640" w:firstLine="0" w:firstLineChars="0"/>
        <w:jc w:val="left"/>
        <w:rPr>
          <w:rFonts w:ascii="Times New Roman" w:hAnsi="Times New Roman" w:eastAsia="方正楷体_GBK"/>
          <w:sz w:val="32"/>
        </w:rPr>
      </w:pPr>
      <w:r>
        <w:rPr>
          <w:rFonts w:ascii="Times New Roman" w:hAnsi="Times New Roman" w:eastAsia="方正楷体_GBK"/>
          <w:sz w:val="32"/>
        </w:rPr>
        <w:t>（二）单位构成</w:t>
      </w:r>
    </w:p>
    <w:p>
      <w:pPr>
        <w:spacing w:line="594" w:lineRule="exact"/>
        <w:ind w:firstLine="640" w:firstLineChars="200"/>
        <w:rPr>
          <w:rFonts w:eastAsia="方正仿宋_GBK"/>
          <w:sz w:val="32"/>
        </w:rPr>
      </w:pPr>
      <w:r>
        <w:rPr>
          <w:rFonts w:eastAsia="方正仿宋_GBK"/>
          <w:sz w:val="32"/>
        </w:rPr>
        <w:t>重庆市开州区纪委监委技术保障中心为正科级事业单位，编制16名，其中</w:t>
      </w:r>
      <w:r>
        <w:rPr>
          <w:rFonts w:eastAsia="方正仿宋_GBK"/>
          <w:sz w:val="32"/>
          <w:szCs w:val="32"/>
        </w:rPr>
        <w:t>主任1名，副主任3名</w:t>
      </w:r>
      <w:r>
        <w:rPr>
          <w:rFonts w:eastAsia="方正仿宋_GBK"/>
          <w:sz w:val="32"/>
        </w:rPr>
        <w:t>。</w:t>
      </w:r>
    </w:p>
    <w:p>
      <w:pPr>
        <w:spacing w:line="594" w:lineRule="exact"/>
        <w:ind w:left="640"/>
        <w:rPr>
          <w:rFonts w:eastAsia="方正仿宋_GBK"/>
          <w:sz w:val="32"/>
        </w:rPr>
      </w:pPr>
      <w:r>
        <w:rPr>
          <w:rFonts w:eastAsia="方正黑体_GBK"/>
          <w:sz w:val="32"/>
        </w:rPr>
        <w:t>二、部门收支总体情况</w:t>
      </w:r>
    </w:p>
    <w:p>
      <w:pPr>
        <w:spacing w:line="594" w:lineRule="exact"/>
        <w:ind w:firstLine="640" w:firstLineChars="200"/>
        <w:rPr>
          <w:rFonts w:eastAsia="方正仿宋_GBK"/>
          <w:sz w:val="32"/>
        </w:rPr>
      </w:pPr>
      <w:r>
        <w:rPr>
          <w:rFonts w:eastAsia="方正楷体_GBK"/>
          <w:sz w:val="32"/>
        </w:rPr>
        <w:t>（一）收入预算：</w:t>
      </w:r>
      <w:r>
        <w:rPr>
          <w:rFonts w:eastAsia="方正仿宋_GBK"/>
          <w:sz w:val="32"/>
        </w:rPr>
        <w:t>2024年年初预算数132.76万元，其中：一般公共预算拨款132.76万元，政府性基金预算拨款0万元，国有资本经营预算收入0万元，事业收入0万元，事业单位经营收入0万元，其他收入0万元。按上级政策要求，预算单位要严格按“三定”方案设置，我单位为2024年新设置预算单位，无法与上年同期数进行比较。</w:t>
      </w:r>
    </w:p>
    <w:p>
      <w:pPr>
        <w:spacing w:line="594" w:lineRule="exact"/>
        <w:ind w:firstLine="640" w:firstLineChars="200"/>
        <w:rPr>
          <w:rFonts w:eastAsia="方正仿宋_GBK"/>
          <w:sz w:val="32"/>
        </w:rPr>
      </w:pPr>
      <w:r>
        <w:rPr>
          <w:rFonts w:eastAsia="方正楷体_GBK"/>
          <w:sz w:val="32"/>
        </w:rPr>
        <w:t>（二）支出预算：</w:t>
      </w:r>
      <w:r>
        <w:rPr>
          <w:rFonts w:eastAsia="方正仿宋_GBK"/>
          <w:sz w:val="32"/>
        </w:rPr>
        <w:t>2024年年初预算数132.76万元，其中：一般公共服务支出预算107.61万元，教育支出预算0万元，社会保障和就业支出预算12.59万元，卫生健康支出预算6.26万元，住房保障支出预算6.29万元。按上级政策要求，预算单位要严格按“三定”方案设置，我单位为2024年新设置预算单位，无法与上年同期数进行比较。</w:t>
      </w:r>
    </w:p>
    <w:p>
      <w:pPr>
        <w:spacing w:line="594" w:lineRule="exact"/>
        <w:ind w:left="640"/>
        <w:rPr>
          <w:rFonts w:eastAsia="方正黑体_GBK"/>
          <w:sz w:val="32"/>
        </w:rPr>
      </w:pPr>
      <w:r>
        <w:rPr>
          <w:rFonts w:eastAsia="方正黑体_GBK"/>
          <w:sz w:val="32"/>
        </w:rPr>
        <w:t>三、部门预算情况说明</w:t>
      </w:r>
    </w:p>
    <w:p>
      <w:pPr>
        <w:spacing w:line="594" w:lineRule="exact"/>
        <w:ind w:firstLine="640" w:firstLineChars="200"/>
        <w:rPr>
          <w:rFonts w:eastAsia="方正仿宋_GBK"/>
          <w:sz w:val="32"/>
        </w:rPr>
      </w:pPr>
      <w:r>
        <w:rPr>
          <w:rFonts w:eastAsia="方正仿宋_GBK"/>
          <w:sz w:val="32"/>
        </w:rPr>
        <w:t>2024年一般公共预算财政拨款收入132.76万元，一般公共预算财政拨款支出132.76万元。其中：基本支出132.76万元，主要用于保障在职人员工资福利及社会保险缴费，离休人员离休费，退休人员补助等，保障单位正常运转的各项商品服务支出；项目支出0万元。按上级政策要求，预算单位要严格按“三定”方案设置，我单位为2024年新设置预算单位，无法与上年同期数进行比较。</w:t>
      </w:r>
    </w:p>
    <w:p>
      <w:pPr>
        <w:spacing w:line="594" w:lineRule="exact"/>
        <w:ind w:firstLine="640" w:firstLineChars="200"/>
        <w:rPr>
          <w:rFonts w:eastAsia="方正仿宋_GBK"/>
          <w:sz w:val="32"/>
        </w:rPr>
      </w:pPr>
      <w:r>
        <w:rPr>
          <w:rFonts w:eastAsia="方正仿宋_GBK"/>
          <w:sz w:val="32"/>
        </w:rPr>
        <w:t>区纪委监委技术保障中心2024年未使用政府性基金预算拨款安排的支出。</w:t>
      </w:r>
    </w:p>
    <w:p>
      <w:pPr>
        <w:spacing w:line="594" w:lineRule="exact"/>
        <w:ind w:left="640"/>
        <w:rPr>
          <w:rFonts w:eastAsia="方正仿宋_GBK"/>
          <w:sz w:val="32"/>
        </w:rPr>
      </w:pPr>
      <w:r>
        <w:rPr>
          <w:rFonts w:eastAsia="方正黑体_GBK"/>
          <w:sz w:val="32"/>
        </w:rPr>
        <w:t>四、“三公”经费情况说明</w:t>
      </w:r>
    </w:p>
    <w:p>
      <w:pPr>
        <w:spacing w:line="594" w:lineRule="exact"/>
        <w:ind w:firstLine="600"/>
        <w:rPr>
          <w:rFonts w:eastAsia="方正仿宋_GBK"/>
          <w:sz w:val="32"/>
        </w:rPr>
      </w:pPr>
      <w:r>
        <w:rPr>
          <w:rFonts w:eastAsia="方正仿宋_GBK"/>
          <w:sz w:val="32"/>
        </w:rPr>
        <w:t>2024年“三公”经费预算0.5万元。其中：因公出国（境）费用0万元；公务接待费0.5万元；公务用车运行维护费0万元；公务用车购置费0万元。按上级政策要求，预算单位要严格按“三定”方案设置，我单位为2024年新设置预算单位，无法与上年同期数进行比较。</w:t>
      </w:r>
    </w:p>
    <w:p>
      <w:pPr>
        <w:spacing w:line="594" w:lineRule="exact"/>
        <w:ind w:left="640"/>
        <w:rPr>
          <w:rFonts w:eastAsia="方正黑体_GBK"/>
          <w:sz w:val="32"/>
        </w:rPr>
      </w:pPr>
      <w:r>
        <w:rPr>
          <w:rFonts w:eastAsia="方正黑体_GBK"/>
          <w:sz w:val="32"/>
        </w:rPr>
        <w:t>五、其他重要事项的情况说明</w:t>
      </w:r>
    </w:p>
    <w:p>
      <w:pPr>
        <w:spacing w:line="594" w:lineRule="exact"/>
        <w:ind w:firstLine="643" w:firstLineChars="200"/>
        <w:rPr>
          <w:rFonts w:eastAsia="方正仿宋_GBK"/>
          <w:sz w:val="32"/>
        </w:rPr>
      </w:pPr>
      <w:r>
        <w:rPr>
          <w:rFonts w:eastAsia="方正仿宋_GBK"/>
          <w:b/>
          <w:sz w:val="32"/>
        </w:rPr>
        <w:t xml:space="preserve">1. </w:t>
      </w:r>
      <w:r>
        <w:rPr>
          <w:rFonts w:eastAsia="方正仿宋_GBK"/>
          <w:sz w:val="32"/>
        </w:rPr>
        <w:t>我单位不在机关运行经费统计范围之内。</w:t>
      </w:r>
    </w:p>
    <w:p>
      <w:pPr>
        <w:spacing w:line="594" w:lineRule="exact"/>
        <w:ind w:firstLine="643" w:firstLineChars="200"/>
        <w:rPr>
          <w:rFonts w:eastAsia="方正仿宋_GBK"/>
          <w:sz w:val="32"/>
        </w:rPr>
      </w:pPr>
      <w:r>
        <w:rPr>
          <w:rFonts w:eastAsia="方正仿宋_GBK"/>
          <w:b/>
          <w:sz w:val="32"/>
        </w:rPr>
        <w:t>2. 政府采购情况。</w:t>
      </w:r>
      <w:r>
        <w:rPr>
          <w:rFonts w:eastAsia="方正仿宋_GBK"/>
          <w:sz w:val="32"/>
        </w:rPr>
        <w:t>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spacing w:line="594" w:lineRule="exact"/>
        <w:ind w:firstLine="643" w:firstLineChars="200"/>
        <w:rPr>
          <w:rFonts w:eastAsia="方正仿宋_GBK"/>
          <w:color w:val="000000"/>
          <w:sz w:val="32"/>
        </w:rPr>
      </w:pPr>
      <w:r>
        <w:rPr>
          <w:rFonts w:eastAsia="方正仿宋_GBK"/>
          <w:b/>
          <w:sz w:val="32"/>
        </w:rPr>
        <w:t>3. 绩效目标设置情况。</w:t>
      </w:r>
      <w:r>
        <w:rPr>
          <w:rFonts w:eastAsia="方正仿宋_GBK"/>
          <w:color w:val="000000"/>
          <w:sz w:val="32"/>
        </w:rPr>
        <w:t>2024年无项目支出。</w:t>
      </w:r>
    </w:p>
    <w:p>
      <w:pPr>
        <w:spacing w:line="594" w:lineRule="exact"/>
        <w:ind w:firstLine="643" w:firstLineChars="200"/>
        <w:rPr>
          <w:rFonts w:eastAsia="方正仿宋_GBK"/>
          <w:color w:val="000000"/>
          <w:sz w:val="32"/>
        </w:rPr>
      </w:pPr>
      <w:r>
        <w:rPr>
          <w:rFonts w:eastAsia="方正仿宋_GBK"/>
          <w:b/>
          <w:color w:val="000000"/>
          <w:sz w:val="32"/>
        </w:rPr>
        <w:t>4. 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2023年12月，所属各预算单位共有车辆0辆，其中一般公务用车0辆、执勤执法用车0辆。2024年一般公共预算安排购置车辆0辆，其中一般公务用车0辆、执勤执法用车0辆。</w:t>
      </w:r>
    </w:p>
    <w:p>
      <w:pPr>
        <w:spacing w:line="594" w:lineRule="exact"/>
        <w:ind w:firstLine="640" w:firstLineChars="200"/>
        <w:rPr>
          <w:rFonts w:eastAsia="方正黑体_GBK"/>
          <w:sz w:val="32"/>
        </w:rPr>
      </w:pPr>
      <w:r>
        <w:rPr>
          <w:rFonts w:eastAsia="方正黑体_GBK"/>
          <w:sz w:val="32"/>
        </w:rPr>
        <w:t>六、专业性名词解释</w:t>
      </w:r>
    </w:p>
    <w:p>
      <w:pPr>
        <w:pStyle w:val="11"/>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1"/>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11"/>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11"/>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spacing w:line="594" w:lineRule="exact"/>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4" w:lineRule="exact"/>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ind w:firstLine="880" w:firstLineChars="200"/>
        <w:rPr>
          <w:rFonts w:eastAsia="方正小标宋_GBK"/>
          <w:sz w:val="44"/>
          <w:szCs w:val="44"/>
        </w:rPr>
      </w:pPr>
    </w:p>
    <w:p>
      <w:pPr>
        <w:spacing w:line="594" w:lineRule="exact"/>
        <w:rPr>
          <w:rFonts w:eastAsia="方正小标宋_GBK"/>
          <w:sz w:val="44"/>
          <w:szCs w:val="44"/>
        </w:rPr>
      </w:pPr>
    </w:p>
    <w:p>
      <w:pPr>
        <w:spacing w:line="594" w:lineRule="exact"/>
        <w:ind w:firstLine="880" w:firstLineChars="200"/>
        <w:rPr>
          <w:rFonts w:eastAsia="方正小标宋_GBK"/>
          <w:sz w:val="44"/>
          <w:szCs w:val="44"/>
        </w:rPr>
      </w:pPr>
      <w:r>
        <w:rPr>
          <w:rFonts w:eastAsia="方正小标宋_GBK"/>
          <w:sz w:val="44"/>
          <w:szCs w:val="44"/>
        </w:rPr>
        <w:t>第二部分：2024年部门预算公开报表</w:t>
      </w:r>
    </w:p>
    <w:p>
      <w:pPr>
        <w:spacing w:line="594" w:lineRule="exact"/>
        <w:ind w:firstLine="640" w:firstLineChars="200"/>
        <w:rPr>
          <w:rFonts w:eastAsia="方正黑体_GBK"/>
          <w:sz w:val="32"/>
        </w:rPr>
      </w:pPr>
    </w:p>
    <w:p>
      <w:pPr>
        <w:spacing w:line="594" w:lineRule="exact"/>
        <w:ind w:firstLine="640" w:firstLineChars="200"/>
        <w:rPr>
          <w:rFonts w:eastAsia="方正黑体_GBK"/>
          <w:sz w:val="32"/>
        </w:rPr>
      </w:pPr>
      <w:r>
        <w:rPr>
          <w:rFonts w:eastAsia="方正黑体_GBK"/>
          <w:sz w:val="32"/>
        </w:rPr>
        <w:t>2024年部门预算公开报表（详见附表重庆市开州区纪委监委技术保障中心2024年部门预算公开报表）</w:t>
      </w:r>
    </w:p>
    <w:p>
      <w:pPr>
        <w:spacing w:line="594" w:lineRule="exact"/>
        <w:rPr>
          <w:rFonts w:eastAsia="方正仿宋_GBK"/>
          <w:b/>
          <w:sz w:val="32"/>
        </w:rPr>
      </w:pPr>
    </w:p>
    <w:p>
      <w:pPr>
        <w:spacing w:line="594" w:lineRule="exact"/>
        <w:ind w:firstLine="315" w:firstLineChars="98"/>
        <w:rPr>
          <w:rFonts w:eastAsia="方正仿宋_GBK"/>
          <w:sz w:val="32"/>
          <w:szCs w:val="32"/>
        </w:rPr>
      </w:pPr>
      <w:r>
        <w:rPr>
          <w:rFonts w:eastAsia="方正仿宋_GBK"/>
          <w:b/>
          <w:sz w:val="32"/>
        </w:rPr>
        <w:t>部门预算公开联系人：陈鑫  联系方式：023-220470</w:t>
      </w: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adjustRightInd w:val="0"/>
        <w:snapToGrid w:val="0"/>
        <w:spacing w:line="594" w:lineRule="exact"/>
        <w:jc w:val="left"/>
        <w:rPr>
          <w:rFonts w:eastAsia="方正仿宋_GBK"/>
          <w:color w:val="000000"/>
          <w:sz w:val="28"/>
          <w:szCs w:val="28"/>
          <w:u w:val="single"/>
        </w:rPr>
      </w:pPr>
      <w:r>
        <w:rPr>
          <w:rFonts w:eastAsia="方正仿宋_GBK"/>
          <w:color w:val="000000"/>
          <w:sz w:val="28"/>
          <w:szCs w:val="28"/>
          <w:u w:val="single"/>
        </w:rPr>
        <w:t xml:space="preserve">                                                              </w:t>
      </w:r>
      <w:r>
        <w:rPr>
          <w:rFonts w:hint="eastAsia" w:eastAsia="方正仿宋_GBK"/>
          <w:color w:val="000000"/>
          <w:sz w:val="28"/>
          <w:szCs w:val="28"/>
          <w:u w:val="single"/>
        </w:rPr>
        <w:t xml:space="preserve"> </w:t>
      </w:r>
      <w:r>
        <w:rPr>
          <w:rFonts w:eastAsia="方正仿宋_GBK"/>
          <w:sz w:val="28"/>
          <w:szCs w:val="28"/>
          <w:u w:val="single"/>
        </w:rPr>
        <w:t xml:space="preserve">中共重庆市开州区纪委办公室              2024年3月21日印发  </w:t>
      </w:r>
      <w:r>
        <w:rPr>
          <w:rFonts w:hint="eastAsia" w:eastAsia="方正仿宋_GBK"/>
          <w:sz w:val="28"/>
          <w:szCs w:val="28"/>
          <w:u w:val="single"/>
        </w:rPr>
        <w:t xml:space="preserve">  </w:t>
      </w:r>
    </w:p>
    <w:sectPr>
      <w:footerReference r:id="rId3" w:type="default"/>
      <w:footerReference r:id="rId4" w:type="even"/>
      <w:pgSz w:w="11906" w:h="16838"/>
      <w:pgMar w:top="1985" w:right="1446" w:bottom="1644" w:left="1446"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98470772"/>
    </w:sdtPr>
    <w:sdtEndPr>
      <w:rPr>
        <w:sz w:val="28"/>
        <w:szCs w:val="28"/>
      </w:rPr>
    </w:sdtEndPr>
    <w:sdtContent>
      <w:p>
        <w:pPr>
          <w:pStyle w:val="4"/>
          <w:ind w:left="210" w:leftChars="100" w:right="210" w:rightChars="100"/>
          <w:jc w:val="right"/>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r>
          <w:rPr>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98470788"/>
    </w:sdtPr>
    <w:sdtEndPr>
      <w:rPr>
        <w:sz w:val="28"/>
        <w:szCs w:val="28"/>
      </w:rPr>
    </w:sdtEndPr>
    <w:sdtContent>
      <w:p>
        <w:pPr>
          <w:pStyle w:val="4"/>
          <w:ind w:left="210" w:leftChars="100" w:right="210" w:rightChars="100"/>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r>
          <w:rPr>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71F5"/>
    <w:rsid w:val="00021ADE"/>
    <w:rsid w:val="000455B8"/>
    <w:rsid w:val="000F0322"/>
    <w:rsid w:val="000F2063"/>
    <w:rsid w:val="001848EC"/>
    <w:rsid w:val="0019053A"/>
    <w:rsid w:val="001A3F01"/>
    <w:rsid w:val="00203325"/>
    <w:rsid w:val="00284C6A"/>
    <w:rsid w:val="0034090B"/>
    <w:rsid w:val="00356B16"/>
    <w:rsid w:val="003C2593"/>
    <w:rsid w:val="003E30BB"/>
    <w:rsid w:val="003E6211"/>
    <w:rsid w:val="00422A5B"/>
    <w:rsid w:val="00467158"/>
    <w:rsid w:val="004D6CB9"/>
    <w:rsid w:val="00511324"/>
    <w:rsid w:val="0053409E"/>
    <w:rsid w:val="005A5400"/>
    <w:rsid w:val="005B1449"/>
    <w:rsid w:val="005E45FE"/>
    <w:rsid w:val="0062043B"/>
    <w:rsid w:val="00725B29"/>
    <w:rsid w:val="00756DFA"/>
    <w:rsid w:val="0075722E"/>
    <w:rsid w:val="007C63A3"/>
    <w:rsid w:val="008252A2"/>
    <w:rsid w:val="00861D7A"/>
    <w:rsid w:val="008E0D25"/>
    <w:rsid w:val="00952440"/>
    <w:rsid w:val="009B0F99"/>
    <w:rsid w:val="00A57B03"/>
    <w:rsid w:val="00A628C5"/>
    <w:rsid w:val="00AA1291"/>
    <w:rsid w:val="00AD61C4"/>
    <w:rsid w:val="00B5153A"/>
    <w:rsid w:val="00B53AEA"/>
    <w:rsid w:val="00C052F2"/>
    <w:rsid w:val="00CE3C46"/>
    <w:rsid w:val="00D171F5"/>
    <w:rsid w:val="00DC6339"/>
    <w:rsid w:val="00E324E4"/>
    <w:rsid w:val="00FE0F25"/>
    <w:rsid w:val="00FE0FB3"/>
    <w:rsid w:val="4FEE7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unhideWhenUsed/>
    <w:qFormat/>
    <w:uiPriority w:val="99"/>
    <w:pPr>
      <w:spacing w:after="120"/>
    </w:pPr>
  </w:style>
  <w:style w:type="paragraph" w:styleId="3">
    <w:name w:val="Body Text Indent"/>
    <w:basedOn w:val="1"/>
    <w:link w:val="10"/>
    <w:uiPriority w:val="0"/>
    <w:pPr>
      <w:ind w:firstLine="640" w:firstLineChars="200"/>
    </w:pPr>
    <w:rPr>
      <w:rFonts w:ascii="仿宋_GB2312" w:eastAsia="仿宋_GB2312"/>
      <w:sz w:val="3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uiPriority w:val="99"/>
    <w:rPr>
      <w:sz w:val="18"/>
      <w:szCs w:val="18"/>
    </w:rPr>
  </w:style>
  <w:style w:type="character" w:customStyle="1" w:styleId="10">
    <w:name w:val="正文文本缩进 Char"/>
    <w:basedOn w:val="6"/>
    <w:link w:val="3"/>
    <w:uiPriority w:val="0"/>
    <w:rPr>
      <w:rFonts w:ascii="仿宋_GB2312" w:hAnsi="Times New Roman" w:eastAsia="仿宋_GB2312" w:cs="Times New Roman"/>
      <w:sz w:val="32"/>
      <w:szCs w:val="24"/>
    </w:rPr>
  </w:style>
  <w:style w:type="paragraph" w:customStyle="1" w:styleId="11">
    <w:name w:val="List Paragraph"/>
    <w:basedOn w:val="1"/>
    <w:qFormat/>
    <w:uiPriority w:val="34"/>
    <w:pPr>
      <w:ind w:firstLine="420" w:firstLineChars="200"/>
    </w:pPr>
    <w:rPr>
      <w:rFonts w:ascii="Calibri" w:hAnsi="Calibri"/>
      <w:szCs w:val="22"/>
    </w:rPr>
  </w:style>
  <w:style w:type="character" w:customStyle="1" w:styleId="12">
    <w:name w:val="正文文本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387</Words>
  <Characters>2210</Characters>
  <Lines>18</Lines>
  <Paragraphs>5</Paragraphs>
  <TotalTime>0</TotalTime>
  <ScaleCrop>false</ScaleCrop>
  <LinksUpToDate>false</LinksUpToDate>
  <CharactersWithSpaces>2592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2024-03-08T07:22:00Z</dcterms:created>
  <dc:creator>asus</dc:creator>
  <cp:lastModifiedBy>张雷</cp:lastModifiedBy>
  <cp:lastPrinted>2024-03-08T07:50:00Z</cp:lastPrinted>
  <dcterms:modified xsi:type="dcterms:W3CDTF">2024-03-29T07:06:38Z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