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horzAnchor="margin" w:tblpXSpec="center" w:tblpYSpec="top"/>
        <w:tblW w:w="9117" w:type="dxa"/>
        <w:jc w:val="center"/>
        <w:tblInd w:w="0" w:type="dxa"/>
        <w:tblLayout w:type="fixed"/>
        <w:tblCellMar>
          <w:top w:w="0" w:type="dxa"/>
          <w:left w:w="108" w:type="dxa"/>
          <w:bottom w:w="0" w:type="dxa"/>
          <w:right w:w="108" w:type="dxa"/>
        </w:tblCellMar>
      </w:tblPr>
      <w:tblGrid>
        <w:gridCol w:w="9117"/>
      </w:tblGrid>
      <w:tr>
        <w:tblPrEx>
          <w:tblLayout w:type="fixed"/>
          <w:tblCellMar>
            <w:top w:w="0" w:type="dxa"/>
            <w:left w:w="108" w:type="dxa"/>
            <w:bottom w:w="0" w:type="dxa"/>
            <w:right w:w="108" w:type="dxa"/>
          </w:tblCellMar>
        </w:tblPrEx>
        <w:trPr>
          <w:trHeight w:val="600" w:hRule="atLeast"/>
          <w:jc w:val="center"/>
        </w:trPr>
        <w:tc>
          <w:tcPr>
            <w:tcW w:w="9117" w:type="dxa"/>
          </w:tcPr>
          <w:p>
            <w:pPr>
              <w:spacing w:line="600" w:lineRule="exact"/>
              <w:rPr>
                <w:rFonts w:eastAsia="方正黑体_GBK"/>
                <w:sz w:val="32"/>
                <w:szCs w:val="32"/>
              </w:rPr>
            </w:pPr>
            <w:bookmarkStart w:id="0" w:name="_GoBack"/>
            <w:bookmarkEnd w:id="0"/>
          </w:p>
        </w:tc>
      </w:tr>
      <w:tr>
        <w:tblPrEx>
          <w:tblLayout w:type="fixed"/>
          <w:tblCellMar>
            <w:top w:w="0" w:type="dxa"/>
            <w:left w:w="108" w:type="dxa"/>
            <w:bottom w:w="0" w:type="dxa"/>
            <w:right w:w="108" w:type="dxa"/>
          </w:tblCellMar>
        </w:tblPrEx>
        <w:trPr>
          <w:trHeight w:val="600" w:hRule="atLeast"/>
          <w:jc w:val="center"/>
        </w:trPr>
        <w:tc>
          <w:tcPr>
            <w:tcW w:w="9117" w:type="dxa"/>
          </w:tcPr>
          <w:p>
            <w:pPr>
              <w:spacing w:line="600" w:lineRule="exact"/>
              <w:rPr>
                <w:rFonts w:eastAsia="方正黑体_GBK"/>
                <w:szCs w:val="32"/>
              </w:rPr>
            </w:pPr>
          </w:p>
        </w:tc>
      </w:tr>
      <w:tr>
        <w:tblPrEx>
          <w:tblLayout w:type="fixed"/>
          <w:tblCellMar>
            <w:top w:w="0" w:type="dxa"/>
            <w:left w:w="108" w:type="dxa"/>
            <w:bottom w:w="0" w:type="dxa"/>
            <w:right w:w="108" w:type="dxa"/>
          </w:tblCellMar>
        </w:tblPrEx>
        <w:trPr>
          <w:trHeight w:val="851" w:hRule="exact"/>
          <w:jc w:val="center"/>
        </w:trPr>
        <w:tc>
          <w:tcPr>
            <w:tcW w:w="9117" w:type="dxa"/>
            <w:vAlign w:val="center"/>
          </w:tcPr>
          <w:p>
            <w:pPr>
              <w:jc w:val="center"/>
              <w:rPr>
                <w:rFonts w:eastAsia="方正小标宋简体"/>
                <w:w w:val="80"/>
              </w:rPr>
            </w:pPr>
          </w:p>
        </w:tc>
      </w:tr>
      <w:tr>
        <w:tblPrEx>
          <w:tblLayout w:type="fixed"/>
          <w:tblCellMar>
            <w:top w:w="0" w:type="dxa"/>
            <w:left w:w="108" w:type="dxa"/>
            <w:bottom w:w="0" w:type="dxa"/>
            <w:right w:w="108" w:type="dxa"/>
          </w:tblCellMar>
        </w:tblPrEx>
        <w:trPr>
          <w:trHeight w:val="2495" w:hRule="exact"/>
          <w:jc w:val="center"/>
        </w:trPr>
        <w:tc>
          <w:tcPr>
            <w:tcW w:w="9117" w:type="dxa"/>
            <w:vAlign w:val="center"/>
          </w:tcPr>
          <w:p>
            <w:pPr>
              <w:jc w:val="center"/>
              <w:rPr>
                <w:rFonts w:eastAsia="方正小标宋_GBK"/>
                <w:color w:val="FF0000"/>
                <w:spacing w:val="-40"/>
                <w:w w:val="50"/>
                <w:kern w:val="4"/>
                <w:sz w:val="120"/>
                <w:szCs w:val="120"/>
              </w:rPr>
            </w:pPr>
            <w:r>
              <w:rPr>
                <w:rFonts w:eastAsia="方正小标宋_GBK"/>
                <w:color w:val="FF0000"/>
                <w:spacing w:val="-40"/>
                <w:w w:val="50"/>
                <w:kern w:val="4"/>
                <w:sz w:val="120"/>
                <w:szCs w:val="120"/>
              </w:rPr>
              <w:t>中共重庆市开州区纪律检查委员会文件</w:t>
            </w:r>
          </w:p>
        </w:tc>
      </w:tr>
      <w:tr>
        <w:tblPrEx>
          <w:tblLayout w:type="fixed"/>
          <w:tblCellMar>
            <w:top w:w="0" w:type="dxa"/>
            <w:left w:w="108" w:type="dxa"/>
            <w:bottom w:w="0" w:type="dxa"/>
            <w:right w:w="108" w:type="dxa"/>
          </w:tblCellMar>
        </w:tblPrEx>
        <w:trPr>
          <w:trHeight w:val="1361" w:hRule="exact"/>
          <w:jc w:val="center"/>
        </w:trPr>
        <w:tc>
          <w:tcPr>
            <w:tcW w:w="9117" w:type="dxa"/>
            <w:vAlign w:val="bottom"/>
          </w:tcPr>
          <w:p>
            <w:pPr>
              <w:jc w:val="center"/>
              <w:rPr>
                <w:rFonts w:eastAsia="方正仿宋_GBK"/>
                <w:sz w:val="32"/>
                <w:szCs w:val="32"/>
              </w:rPr>
            </w:pPr>
            <w:r>
              <w:rPr>
                <w:rFonts w:eastAsia="方正仿宋_GBK"/>
                <w:sz w:val="32"/>
                <w:szCs w:val="32"/>
              </w:rPr>
              <w:t>开州纪发〔2024〕5号                  签发人：陈 勇</w:t>
            </w:r>
          </w:p>
          <w:p>
            <w:pPr>
              <w:spacing w:line="540" w:lineRule="exact"/>
              <w:jc w:val="center"/>
              <w:rPr>
                <w:color w:val="FF0000"/>
                <w:sz w:val="52"/>
                <w:szCs w:val="52"/>
              </w:rPr>
            </w:pPr>
            <w:r>
              <w:pict>
                <v:line id="直线 4" o:spid="_x0000_s2050" o:spt="20" style="position:absolute;left:0pt;margin-left:241.5pt;margin-top:14.5pt;height:0pt;width:204.6pt;z-index:251657216;mso-width-relative:page;mso-height-relative:page;" stroked="t" coordsize="21600,21600">
                  <v:path arrowok="t"/>
                  <v:fill focussize="0,0"/>
                  <v:stroke weight="2.25pt" color="#FF0000"/>
                  <v:imagedata o:title=""/>
                  <o:lock v:ext="edit"/>
                </v:line>
              </w:pict>
            </w:r>
            <w:r>
              <w:pict>
                <v:line id="直线 5" o:spid="_x0000_s2051" o:spt="20" style="position:absolute;left:0pt;margin-left:-5.65pt;margin-top:13.65pt;height:0pt;width:199.7pt;z-index:251658240;mso-width-relative:page;mso-height-relative:page;" stroked="t" coordsize="21600,21600">
                  <v:path arrowok="t"/>
                  <v:fill focussize="0,0"/>
                  <v:stroke weight="2.25pt" color="#FF0000"/>
                  <v:imagedata o:title=""/>
                  <o:lock v:ext="edit"/>
                </v:line>
              </w:pict>
            </w:r>
            <w:r>
              <w:rPr>
                <w:rFonts w:hAnsi="宋体"/>
                <w:b/>
                <w:color w:val="FF0000"/>
                <w:sz w:val="52"/>
                <w:szCs w:val="52"/>
              </w:rPr>
              <w:t>★</w:t>
            </w:r>
          </w:p>
        </w:tc>
      </w:tr>
    </w:tbl>
    <w:p>
      <w:pPr>
        <w:pStyle w:val="2"/>
        <w:adjustRightInd w:val="0"/>
        <w:snapToGrid w:val="0"/>
        <w:spacing w:line="580" w:lineRule="exact"/>
        <w:jc w:val="center"/>
        <w:rPr>
          <w:rFonts w:eastAsia="方正小标宋_GBK"/>
          <w:bCs/>
          <w:sz w:val="44"/>
          <w:szCs w:val="44"/>
        </w:rPr>
      </w:pPr>
    </w:p>
    <w:p>
      <w:pPr>
        <w:adjustRightInd w:val="0"/>
        <w:snapToGrid w:val="0"/>
        <w:spacing w:line="594" w:lineRule="exact"/>
        <w:jc w:val="center"/>
        <w:rPr>
          <w:rFonts w:eastAsia="方正小标宋_GBK"/>
          <w:bCs/>
          <w:snapToGrid w:val="0"/>
          <w:kern w:val="0"/>
          <w:sz w:val="44"/>
          <w:szCs w:val="44"/>
        </w:rPr>
      </w:pPr>
      <w:r>
        <w:rPr>
          <w:rFonts w:eastAsia="方正小标宋_GBK"/>
          <w:bCs/>
          <w:snapToGrid w:val="0"/>
          <w:kern w:val="0"/>
          <w:sz w:val="44"/>
          <w:szCs w:val="44"/>
        </w:rPr>
        <w:t>中共重庆市开州区纪委</w:t>
      </w:r>
    </w:p>
    <w:p>
      <w:pPr>
        <w:jc w:val="center"/>
        <w:rPr>
          <w:rFonts w:eastAsia="方正小标宋_GBK"/>
          <w:sz w:val="44"/>
          <w:szCs w:val="44"/>
        </w:rPr>
      </w:pPr>
      <w:r>
        <w:rPr>
          <w:rFonts w:eastAsia="方正小标宋_GBK"/>
          <w:sz w:val="44"/>
          <w:szCs w:val="44"/>
        </w:rPr>
        <w:t>关于2024年部门预算情况公开的公告</w:t>
      </w:r>
    </w:p>
    <w:p>
      <w:pPr>
        <w:spacing w:line="594" w:lineRule="exact"/>
        <w:jc w:val="center"/>
        <w:rPr>
          <w:rFonts w:eastAsia="方正小标宋_GBK"/>
          <w:sz w:val="44"/>
          <w:szCs w:val="44"/>
        </w:rPr>
      </w:pPr>
    </w:p>
    <w:p>
      <w:pPr>
        <w:spacing w:line="594"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重庆市开州区财政局《关于批复区纪委2024年区级部门预算的通知》（开州财行发〔2024〕22号）,现将中国共产党重庆市开州区纪律检查委员会2024年部门预算批复情况公开如下：</w:t>
      </w:r>
    </w:p>
    <w:p>
      <w:pPr>
        <w:widowControl/>
        <w:spacing w:line="594" w:lineRule="exact"/>
        <w:jc w:val="left"/>
        <w:rPr>
          <w:rFonts w:eastAsia="方正小标宋_GBK"/>
          <w:sz w:val="44"/>
          <w:szCs w:val="44"/>
        </w:rPr>
      </w:pPr>
      <w:r>
        <w:rPr>
          <w:rFonts w:eastAsia="方正小标宋_GBK"/>
          <w:sz w:val="44"/>
          <w:szCs w:val="44"/>
        </w:rPr>
        <w:br w:type="page"/>
      </w:r>
    </w:p>
    <w:p>
      <w:pPr>
        <w:spacing w:line="594" w:lineRule="exact"/>
        <w:jc w:val="center"/>
        <w:rPr>
          <w:rFonts w:eastAsia="方正小标宋_GBK"/>
          <w:sz w:val="44"/>
          <w:szCs w:val="44"/>
        </w:rPr>
      </w:pPr>
      <w:r>
        <w:rPr>
          <w:rFonts w:eastAsia="方正小标宋_GBK"/>
          <w:sz w:val="44"/>
          <w:szCs w:val="44"/>
        </w:rPr>
        <w:t>目    录</w:t>
      </w:r>
    </w:p>
    <w:p>
      <w:pPr>
        <w:spacing w:line="594" w:lineRule="exact"/>
      </w:pPr>
    </w:p>
    <w:p>
      <w:pPr>
        <w:spacing w:line="594" w:lineRule="exact"/>
        <w:jc w:val="center"/>
        <w:rPr>
          <w:rFonts w:eastAsia="方正楷体_GBK"/>
          <w:sz w:val="32"/>
          <w:szCs w:val="32"/>
        </w:rPr>
      </w:pPr>
      <w:r>
        <w:rPr>
          <w:rFonts w:eastAsia="方正楷体_GBK"/>
          <w:sz w:val="32"/>
          <w:szCs w:val="32"/>
        </w:rPr>
        <w:t>第一部分：2024年部门预算情况说明</w:t>
      </w:r>
    </w:p>
    <w:p>
      <w:pPr>
        <w:spacing w:line="594" w:lineRule="exact"/>
      </w:pPr>
    </w:p>
    <w:p>
      <w:pPr>
        <w:spacing w:line="594" w:lineRule="exact"/>
        <w:rPr>
          <w:rFonts w:eastAsia="方正仿宋_GBK"/>
          <w:sz w:val="32"/>
          <w:szCs w:val="32"/>
        </w:rPr>
      </w:pPr>
      <w:r>
        <w:rPr>
          <w:rFonts w:eastAsia="方正仿宋_GBK"/>
          <w:sz w:val="32"/>
          <w:szCs w:val="32"/>
        </w:rPr>
        <w:t xml:space="preserve">    一、单位基本情况</w:t>
      </w:r>
    </w:p>
    <w:p>
      <w:pPr>
        <w:spacing w:line="594" w:lineRule="exact"/>
        <w:rPr>
          <w:rFonts w:eastAsia="方正仿宋_GBK"/>
          <w:sz w:val="32"/>
          <w:szCs w:val="32"/>
        </w:rPr>
      </w:pPr>
      <w:r>
        <w:rPr>
          <w:rFonts w:eastAsia="方正仿宋_GBK"/>
          <w:sz w:val="32"/>
          <w:szCs w:val="32"/>
        </w:rPr>
        <w:t xml:space="preserve">    二、部门收支总体情况</w:t>
      </w:r>
    </w:p>
    <w:p>
      <w:pPr>
        <w:spacing w:line="594" w:lineRule="exact"/>
        <w:rPr>
          <w:rFonts w:eastAsia="方正仿宋_GBK"/>
          <w:sz w:val="32"/>
          <w:szCs w:val="32"/>
        </w:rPr>
      </w:pPr>
      <w:r>
        <w:rPr>
          <w:rFonts w:eastAsia="方正仿宋_GBK"/>
          <w:sz w:val="32"/>
          <w:szCs w:val="32"/>
        </w:rPr>
        <w:t xml:space="preserve">    三、部门预算情况说明</w:t>
      </w:r>
    </w:p>
    <w:p>
      <w:pPr>
        <w:spacing w:line="594" w:lineRule="exact"/>
        <w:rPr>
          <w:rFonts w:eastAsia="方正仿宋_GBK"/>
          <w:sz w:val="32"/>
          <w:szCs w:val="32"/>
        </w:rPr>
      </w:pPr>
      <w:r>
        <w:rPr>
          <w:rFonts w:eastAsia="方正仿宋_GBK"/>
          <w:sz w:val="32"/>
          <w:szCs w:val="32"/>
        </w:rPr>
        <w:t xml:space="preserve">    四、“三公”经费情况说明</w:t>
      </w:r>
    </w:p>
    <w:p>
      <w:pPr>
        <w:spacing w:line="594" w:lineRule="exact"/>
        <w:rPr>
          <w:rFonts w:eastAsia="方正仿宋_GBK"/>
          <w:sz w:val="32"/>
          <w:szCs w:val="32"/>
        </w:rPr>
      </w:pPr>
      <w:r>
        <w:rPr>
          <w:rFonts w:eastAsia="方正仿宋_GBK"/>
          <w:sz w:val="32"/>
          <w:szCs w:val="32"/>
        </w:rPr>
        <w:t xml:space="preserve">    五、其他重要事项的情况说明</w:t>
      </w:r>
    </w:p>
    <w:p>
      <w:pPr>
        <w:spacing w:line="594" w:lineRule="exact"/>
        <w:rPr>
          <w:rFonts w:eastAsia="方正仿宋_GBK"/>
          <w:sz w:val="32"/>
          <w:szCs w:val="32"/>
        </w:rPr>
      </w:pPr>
      <w:r>
        <w:rPr>
          <w:rFonts w:eastAsia="方正仿宋_GBK"/>
          <w:sz w:val="32"/>
          <w:szCs w:val="32"/>
        </w:rPr>
        <w:t xml:space="preserve">    六、专业性名词解释</w:t>
      </w:r>
    </w:p>
    <w:p>
      <w:pPr>
        <w:spacing w:line="594" w:lineRule="exact"/>
        <w:rPr>
          <w:rFonts w:eastAsia="方正仿宋_GBK"/>
          <w:sz w:val="32"/>
          <w:szCs w:val="32"/>
        </w:rPr>
      </w:pPr>
    </w:p>
    <w:p>
      <w:pPr>
        <w:spacing w:line="594" w:lineRule="exact"/>
        <w:jc w:val="center"/>
      </w:pPr>
      <w:r>
        <w:rPr>
          <w:rFonts w:eastAsia="方正楷体_GBK"/>
          <w:sz w:val="32"/>
          <w:szCs w:val="32"/>
        </w:rPr>
        <w:t>第二部分：2024年部门预算公开报表</w:t>
      </w:r>
    </w:p>
    <w:p>
      <w:pPr>
        <w:spacing w:line="594" w:lineRule="exact"/>
      </w:pPr>
    </w:p>
    <w:p>
      <w:pPr>
        <w:spacing w:line="594" w:lineRule="exact"/>
        <w:rPr>
          <w:rFonts w:eastAsia="方正仿宋_GBK"/>
          <w:sz w:val="32"/>
          <w:szCs w:val="32"/>
        </w:rPr>
      </w:pPr>
      <w:r>
        <w:rPr>
          <w:rFonts w:eastAsia="方正仿宋_GBK"/>
          <w:sz w:val="32"/>
          <w:szCs w:val="32"/>
        </w:rPr>
        <w:t xml:space="preserve">    表1、中国共产党重庆市开州区纪律检查委员会收支预算总表</w:t>
      </w:r>
    </w:p>
    <w:p>
      <w:pPr>
        <w:spacing w:line="594" w:lineRule="exact"/>
        <w:rPr>
          <w:rFonts w:eastAsia="方正仿宋_GBK"/>
          <w:sz w:val="32"/>
          <w:szCs w:val="32"/>
        </w:rPr>
      </w:pPr>
      <w:r>
        <w:rPr>
          <w:rFonts w:eastAsia="方正仿宋_GBK"/>
          <w:sz w:val="32"/>
          <w:szCs w:val="32"/>
        </w:rPr>
        <w:t xml:space="preserve">    表2、中国共产党重庆市开州区纪律检查委员会收入总表</w:t>
      </w:r>
    </w:p>
    <w:p>
      <w:pPr>
        <w:spacing w:line="594" w:lineRule="exact"/>
        <w:rPr>
          <w:rFonts w:eastAsia="方正仿宋_GBK"/>
          <w:sz w:val="32"/>
          <w:szCs w:val="32"/>
        </w:rPr>
      </w:pPr>
      <w:r>
        <w:rPr>
          <w:rFonts w:eastAsia="方正仿宋_GBK"/>
          <w:sz w:val="32"/>
          <w:szCs w:val="32"/>
        </w:rPr>
        <w:t xml:space="preserve">    表</w:t>
      </w:r>
      <w:r>
        <w:rPr>
          <w:rFonts w:hint="eastAsia" w:eastAsia="方正仿宋_GBK"/>
          <w:sz w:val="32"/>
          <w:szCs w:val="32"/>
        </w:rPr>
        <w:t>3、</w:t>
      </w:r>
      <w:r>
        <w:rPr>
          <w:rFonts w:eastAsia="方正仿宋_GBK"/>
          <w:sz w:val="32"/>
          <w:szCs w:val="32"/>
        </w:rPr>
        <w:t>中国共产党重庆市开州区纪律检查委员会本年支出预算总表</w:t>
      </w:r>
    </w:p>
    <w:p>
      <w:pPr>
        <w:spacing w:line="594" w:lineRule="exact"/>
        <w:rPr>
          <w:rFonts w:eastAsia="方正仿宋_GBK"/>
          <w:sz w:val="32"/>
          <w:szCs w:val="32"/>
        </w:rPr>
      </w:pPr>
      <w:r>
        <w:rPr>
          <w:rFonts w:eastAsia="方正仿宋_GBK"/>
          <w:sz w:val="32"/>
          <w:szCs w:val="32"/>
        </w:rPr>
        <w:t xml:space="preserve">    表4、中国共产党重庆市开州区纪律检查委员会财政拨款收支预算总表</w:t>
      </w:r>
    </w:p>
    <w:p>
      <w:pPr>
        <w:spacing w:line="594" w:lineRule="exact"/>
        <w:rPr>
          <w:rFonts w:eastAsia="方正仿宋_GBK"/>
          <w:sz w:val="32"/>
          <w:szCs w:val="32"/>
        </w:rPr>
      </w:pPr>
      <w:r>
        <w:rPr>
          <w:rFonts w:eastAsia="方正仿宋_GBK"/>
          <w:sz w:val="32"/>
          <w:szCs w:val="32"/>
        </w:rPr>
        <w:t xml:space="preserve">    表5、中国共产党重庆市开州区纪律检查委员会本年一般公共预算支出预算表</w:t>
      </w:r>
    </w:p>
    <w:p>
      <w:pPr>
        <w:spacing w:line="594" w:lineRule="exact"/>
        <w:rPr>
          <w:rFonts w:eastAsia="方正仿宋_GBK"/>
          <w:sz w:val="32"/>
          <w:szCs w:val="32"/>
        </w:rPr>
      </w:pPr>
      <w:r>
        <w:rPr>
          <w:rFonts w:eastAsia="方正仿宋_GBK"/>
          <w:sz w:val="32"/>
          <w:szCs w:val="32"/>
        </w:rPr>
        <w:t xml:space="preserve">    表6、中国共产党重庆市开州区纪律检查委员会一般公共预算基本支出预算表</w:t>
      </w:r>
    </w:p>
    <w:p>
      <w:pPr>
        <w:spacing w:line="594" w:lineRule="exact"/>
        <w:rPr>
          <w:rFonts w:eastAsia="方正仿宋_GBK"/>
          <w:sz w:val="32"/>
          <w:szCs w:val="32"/>
        </w:rPr>
      </w:pPr>
      <w:r>
        <w:rPr>
          <w:rFonts w:eastAsia="方正仿宋_GBK"/>
          <w:sz w:val="32"/>
          <w:szCs w:val="32"/>
        </w:rPr>
        <w:t xml:space="preserve">    表7、中国共产党重庆市开州区纪律检查委员会一般公共预算“三公”经费支出预算表</w:t>
      </w:r>
    </w:p>
    <w:p>
      <w:pPr>
        <w:spacing w:line="594" w:lineRule="exact"/>
        <w:rPr>
          <w:rFonts w:eastAsia="方正仿宋_GBK"/>
          <w:sz w:val="32"/>
          <w:szCs w:val="32"/>
        </w:rPr>
      </w:pPr>
      <w:r>
        <w:rPr>
          <w:rFonts w:eastAsia="方正仿宋_GBK"/>
          <w:sz w:val="32"/>
          <w:szCs w:val="32"/>
        </w:rPr>
        <w:t xml:space="preserve">    表8、中国共产党重庆市开州区纪律检查委员会政府性基金预算支出预算表</w:t>
      </w:r>
    </w:p>
    <w:p>
      <w:pPr>
        <w:spacing w:line="594" w:lineRule="exact"/>
        <w:rPr>
          <w:rFonts w:eastAsia="方正仿宋_GBK"/>
          <w:sz w:val="32"/>
          <w:szCs w:val="32"/>
        </w:rPr>
      </w:pPr>
      <w:r>
        <w:rPr>
          <w:rFonts w:eastAsia="方正仿宋_GBK"/>
          <w:sz w:val="32"/>
          <w:szCs w:val="32"/>
        </w:rPr>
        <w:t xml:space="preserve">    表9、中国共产党重庆市开州区纪律检查委员会国有资本经营预算支出预算表</w:t>
      </w:r>
    </w:p>
    <w:p>
      <w:pPr>
        <w:spacing w:line="594" w:lineRule="exact"/>
        <w:rPr>
          <w:rFonts w:eastAsia="方正仿宋_GBK"/>
          <w:sz w:val="32"/>
          <w:szCs w:val="32"/>
        </w:rPr>
      </w:pPr>
      <w:r>
        <w:rPr>
          <w:rFonts w:eastAsia="方正仿宋_GBK"/>
          <w:sz w:val="32"/>
          <w:szCs w:val="32"/>
        </w:rPr>
        <w:t xml:space="preserve">    表10、中国共产党重庆市开州区纪律检查委员会项目支出表</w:t>
      </w:r>
    </w:p>
    <w:p>
      <w:pPr>
        <w:spacing w:line="594" w:lineRule="exact"/>
        <w:rPr>
          <w:rFonts w:eastAsia="方正仿宋_GBK"/>
          <w:sz w:val="32"/>
          <w:szCs w:val="32"/>
        </w:rPr>
      </w:pPr>
      <w:r>
        <w:rPr>
          <w:rFonts w:eastAsia="方正仿宋_GBK"/>
          <w:sz w:val="32"/>
          <w:szCs w:val="32"/>
        </w:rPr>
        <w:t xml:space="preserve">    表11、中国共产党重庆市开州区纪律检查委员会项目绩效目标表</w:t>
      </w:r>
    </w:p>
    <w:p>
      <w:pPr>
        <w:spacing w:line="594" w:lineRule="exact"/>
        <w:rPr>
          <w:rFonts w:eastAsia="方正仿宋_GBK"/>
          <w:sz w:val="32"/>
          <w:szCs w:val="32"/>
        </w:rPr>
      </w:pPr>
      <w:r>
        <w:rPr>
          <w:rFonts w:eastAsia="方正仿宋_GBK"/>
          <w:sz w:val="32"/>
          <w:szCs w:val="32"/>
        </w:rPr>
        <w:t xml:space="preserve">  </w:t>
      </w:r>
    </w:p>
    <w:p>
      <w:pPr>
        <w:spacing w:line="594" w:lineRule="exact"/>
        <w:rPr>
          <w:rFonts w:eastAsia="方正仿宋_GBK"/>
          <w:sz w:val="32"/>
          <w:szCs w:val="32"/>
        </w:rPr>
      </w:pPr>
    </w:p>
    <w:p>
      <w:pPr>
        <w:spacing w:line="594" w:lineRule="exact"/>
      </w:pPr>
    </w:p>
    <w:p>
      <w:pPr>
        <w:spacing w:line="594" w:lineRule="exact"/>
        <w:rPr>
          <w:rFonts w:eastAsia="方正仿宋_GBK"/>
          <w:b/>
          <w:bCs/>
          <w:sz w:val="32"/>
          <w:szCs w:val="32"/>
        </w:rPr>
      </w:pPr>
    </w:p>
    <w:p>
      <w:pPr>
        <w:spacing w:line="594" w:lineRule="exact"/>
        <w:rPr>
          <w:rFonts w:eastAsia="方正仿宋_GBK"/>
          <w:b/>
          <w:bCs/>
          <w:sz w:val="32"/>
          <w:szCs w:val="32"/>
        </w:rPr>
      </w:pPr>
    </w:p>
    <w:p>
      <w:pPr>
        <w:spacing w:line="594" w:lineRule="exact"/>
        <w:rPr>
          <w:rFonts w:eastAsia="方正仿宋_GBK"/>
          <w:b/>
          <w:bCs/>
          <w:sz w:val="32"/>
          <w:szCs w:val="32"/>
        </w:rPr>
      </w:pPr>
    </w:p>
    <w:p>
      <w:pPr>
        <w:spacing w:line="594" w:lineRule="exact"/>
      </w:pPr>
    </w:p>
    <w:p>
      <w:pPr>
        <w:spacing w:line="594" w:lineRule="exact"/>
      </w:pPr>
    </w:p>
    <w:p>
      <w:pPr>
        <w:spacing w:line="594" w:lineRule="exact"/>
      </w:pPr>
    </w:p>
    <w:p>
      <w:pPr>
        <w:spacing w:line="594" w:lineRule="exact"/>
      </w:pPr>
    </w:p>
    <w:p>
      <w:pPr>
        <w:spacing w:line="594" w:lineRule="exact"/>
      </w:pPr>
    </w:p>
    <w:p>
      <w:pPr>
        <w:widowControl/>
        <w:spacing w:line="594" w:lineRule="exact"/>
        <w:jc w:val="left"/>
        <w:rPr>
          <w:rFonts w:eastAsia="方正小标宋_GBK"/>
          <w:sz w:val="44"/>
          <w:szCs w:val="44"/>
        </w:rPr>
      </w:pPr>
      <w:r>
        <w:rPr>
          <w:rFonts w:eastAsia="方正小标宋_GBK"/>
          <w:sz w:val="44"/>
          <w:szCs w:val="44"/>
        </w:rPr>
        <w:br w:type="page"/>
      </w:r>
    </w:p>
    <w:p>
      <w:pPr>
        <w:spacing w:line="594" w:lineRule="exact"/>
        <w:jc w:val="center"/>
        <w:rPr>
          <w:rFonts w:eastAsia="方正小标宋_GBK"/>
          <w:sz w:val="44"/>
          <w:szCs w:val="44"/>
        </w:rPr>
      </w:pPr>
      <w:r>
        <w:rPr>
          <w:rFonts w:eastAsia="方正小标宋_GBK"/>
          <w:sz w:val="44"/>
          <w:szCs w:val="44"/>
        </w:rPr>
        <w:t>第一部分：2024年部门预算情况说明</w:t>
      </w:r>
    </w:p>
    <w:p>
      <w:pPr>
        <w:spacing w:line="594" w:lineRule="exact"/>
        <w:ind w:firstLine="880" w:firstLineChars="200"/>
        <w:jc w:val="center"/>
        <w:rPr>
          <w:rFonts w:eastAsia="华文中宋"/>
          <w:sz w:val="44"/>
          <w:szCs w:val="44"/>
        </w:rPr>
      </w:pPr>
    </w:p>
    <w:p>
      <w:pPr>
        <w:spacing w:line="594" w:lineRule="exact"/>
        <w:ind w:left="640"/>
        <w:rPr>
          <w:rFonts w:eastAsia="方正黑体_GBK"/>
          <w:sz w:val="32"/>
        </w:rPr>
      </w:pPr>
      <w:r>
        <w:rPr>
          <w:rFonts w:eastAsia="方正黑体_GBK"/>
          <w:sz w:val="32"/>
        </w:rPr>
        <w:t>一、单位基本情况</w:t>
      </w:r>
    </w:p>
    <w:p>
      <w:pPr>
        <w:spacing w:line="594" w:lineRule="exact"/>
        <w:ind w:firstLine="640" w:firstLineChars="200"/>
        <w:rPr>
          <w:rFonts w:eastAsia="方正楷体_GBK"/>
          <w:color w:val="000000"/>
          <w:sz w:val="32"/>
        </w:rPr>
      </w:pPr>
      <w:r>
        <w:rPr>
          <w:rFonts w:eastAsia="方正楷体_GBK"/>
          <w:color w:val="000000"/>
          <w:sz w:val="32"/>
        </w:rPr>
        <w:t>（一）职能职责</w:t>
      </w:r>
    </w:p>
    <w:p>
      <w:pPr>
        <w:spacing w:line="594" w:lineRule="exact"/>
        <w:ind w:firstLine="643" w:firstLineChars="200"/>
        <w:rPr>
          <w:rFonts w:eastAsia="方正仿宋_GBK"/>
          <w:color w:val="000000"/>
          <w:sz w:val="32"/>
          <w:szCs w:val="32"/>
        </w:rPr>
      </w:pPr>
      <w:r>
        <w:rPr>
          <w:rFonts w:eastAsia="方正仿宋_GBK"/>
          <w:b/>
          <w:bCs/>
          <w:color w:val="000000"/>
          <w:sz w:val="32"/>
          <w:szCs w:val="32"/>
        </w:rPr>
        <w:t>1. 中共重庆市开州区纪律检查委员会。</w:t>
      </w:r>
      <w:r>
        <w:rPr>
          <w:rFonts w:eastAsia="方正仿宋_GBK"/>
          <w:color w:val="000000"/>
          <w:sz w:val="32"/>
          <w:szCs w:val="32"/>
        </w:rPr>
        <w:t>负责维护党的章程和其他党内法规，检查党的路线、方针、政策和决议的执行情况，协助区委推进全面从严治党、加强党风建设和组织协调反腐败工作。履行监督、执纪、问责职责。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spacing w:line="594" w:lineRule="exact"/>
        <w:ind w:firstLine="643" w:firstLineChars="200"/>
        <w:rPr>
          <w:rFonts w:eastAsia="方正仿宋_GBK"/>
          <w:color w:val="000000"/>
          <w:sz w:val="32"/>
          <w:szCs w:val="32"/>
        </w:rPr>
      </w:pPr>
      <w:r>
        <w:rPr>
          <w:rFonts w:eastAsia="方正仿宋_GBK"/>
          <w:b/>
          <w:bCs/>
          <w:color w:val="000000"/>
          <w:sz w:val="32"/>
          <w:szCs w:val="32"/>
        </w:rPr>
        <w:t>2. 重庆市开州区监察委员会。</w:t>
      </w:r>
      <w:r>
        <w:rPr>
          <w:rFonts w:eastAsia="方正仿宋_GBK"/>
          <w:color w:val="000000"/>
          <w:sz w:val="32"/>
          <w:szCs w:val="32"/>
        </w:rPr>
        <w:t>负责维护宪法和法律法规权威；依法监察公职人员行使公权力情况，调查职务违法和职务犯罪；开展廉政建设和反腐败工作。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pPr>
        <w:spacing w:line="594" w:lineRule="exact"/>
        <w:ind w:firstLine="643" w:firstLineChars="200"/>
        <w:rPr>
          <w:rFonts w:eastAsia="方正仿宋_GBK"/>
          <w:b/>
          <w:bCs/>
          <w:color w:val="000000"/>
          <w:sz w:val="32"/>
          <w:szCs w:val="32"/>
        </w:rPr>
      </w:pPr>
      <w:r>
        <w:rPr>
          <w:rFonts w:eastAsia="方正仿宋_GBK"/>
          <w:b/>
          <w:bCs/>
          <w:color w:val="000000"/>
          <w:sz w:val="32"/>
          <w:szCs w:val="32"/>
        </w:rPr>
        <w:t>3. 履行有关法律法规赋予的其他职能职责。</w:t>
      </w:r>
    </w:p>
    <w:p>
      <w:pPr>
        <w:spacing w:line="594" w:lineRule="exact"/>
        <w:ind w:firstLine="643" w:firstLineChars="200"/>
        <w:rPr>
          <w:rFonts w:eastAsia="方正仿宋_GBK"/>
          <w:b/>
          <w:bCs/>
          <w:color w:val="000000"/>
          <w:sz w:val="32"/>
          <w:szCs w:val="32"/>
        </w:rPr>
      </w:pPr>
      <w:r>
        <w:rPr>
          <w:rFonts w:eastAsia="方正仿宋_GBK"/>
          <w:b/>
          <w:bCs/>
          <w:color w:val="000000"/>
          <w:sz w:val="32"/>
          <w:szCs w:val="32"/>
        </w:rPr>
        <w:t>4. 承办市纪委监委、区委授权和交办的其他事项。</w:t>
      </w:r>
    </w:p>
    <w:p>
      <w:pPr>
        <w:spacing w:line="594" w:lineRule="exact"/>
        <w:ind w:firstLine="640" w:firstLineChars="200"/>
        <w:rPr>
          <w:rFonts w:eastAsia="方正楷体_GBK"/>
          <w:bCs/>
          <w:color w:val="000000"/>
          <w:sz w:val="32"/>
          <w:szCs w:val="32"/>
        </w:rPr>
      </w:pPr>
      <w:r>
        <w:rPr>
          <w:rFonts w:eastAsia="方正楷体_GBK"/>
          <w:bCs/>
          <w:color w:val="000000"/>
          <w:sz w:val="32"/>
          <w:szCs w:val="32"/>
        </w:rPr>
        <w:t>（二）单位构成</w:t>
      </w:r>
    </w:p>
    <w:p>
      <w:pPr>
        <w:spacing w:line="594" w:lineRule="exact"/>
        <w:ind w:firstLine="640" w:firstLineChars="200"/>
        <w:rPr>
          <w:rFonts w:eastAsia="方正仿宋_GBK"/>
          <w:color w:val="000000"/>
          <w:sz w:val="32"/>
          <w:szCs w:val="32"/>
        </w:rPr>
      </w:pPr>
      <w:r>
        <w:rPr>
          <w:rFonts w:eastAsia="方正仿宋_GBK"/>
          <w:color w:val="000000"/>
          <w:sz w:val="32"/>
          <w:szCs w:val="32"/>
        </w:rPr>
        <w:t>中共重庆市开州区纪律检查委员会机关、重庆市开州区监察委员会机关设16个内设机构：办公室、组织部、宣传部、党风政风监督室、信访室、案件监督管理室、第一至第四监督检查室、第五监督检查室（民生监督室）、第六至第八审查调查室、案件审理室、纪检监察干部监督室。设立派驻机构11个、派出机构10个。</w:t>
      </w:r>
    </w:p>
    <w:p>
      <w:pPr>
        <w:spacing w:line="594" w:lineRule="exact"/>
        <w:ind w:left="640"/>
        <w:rPr>
          <w:rFonts w:eastAsia="方正仿宋_GBK"/>
          <w:sz w:val="32"/>
        </w:rPr>
      </w:pPr>
      <w:r>
        <w:rPr>
          <w:rFonts w:eastAsia="方正黑体_GBK"/>
          <w:sz w:val="32"/>
        </w:rPr>
        <w:t>二、部门收支总体情况</w:t>
      </w:r>
    </w:p>
    <w:p>
      <w:pPr>
        <w:spacing w:line="594" w:lineRule="exact"/>
        <w:ind w:firstLine="640" w:firstLineChars="200"/>
        <w:rPr>
          <w:rFonts w:eastAsia="方正仿宋_GBK"/>
          <w:sz w:val="32"/>
        </w:rPr>
      </w:pPr>
      <w:r>
        <w:rPr>
          <w:rFonts w:eastAsia="方正楷体_GBK"/>
          <w:sz w:val="32"/>
        </w:rPr>
        <w:t>（一）收入预算：</w:t>
      </w:r>
      <w:r>
        <w:rPr>
          <w:rFonts w:eastAsia="方正仿宋_GBK"/>
          <w:sz w:val="32"/>
        </w:rPr>
        <w:t>2024年年初预算数3988.92万元，其中：一般公共预算拨款3688.92万元，政府性基金预算拨款300万元，国有资本经营预算收入0万元，事业收入0万元，事业单位经营收入0万元，其他收入0万元。收入较2023年减少592.28万元，主要原因是按上级政策要求，预算单位要严格按“三定”方案设置，一级预算单位中共重庆市开州区委巡察工作领导小组办公室及其二级预算单位重庆市开州区巡察工作信息联络中心于今年从我部门独立开，人员减少导致一般公共预算资金减少892.28万元；留置场所运行经费300万元纳入政府性基金预算。</w:t>
      </w:r>
    </w:p>
    <w:p>
      <w:pPr>
        <w:spacing w:line="594" w:lineRule="exact"/>
        <w:ind w:firstLine="640" w:firstLineChars="200"/>
        <w:rPr>
          <w:rFonts w:eastAsia="方正仿宋_GBK"/>
          <w:sz w:val="32"/>
        </w:rPr>
      </w:pPr>
      <w:r>
        <w:rPr>
          <w:rFonts w:eastAsia="方正楷体_GBK"/>
          <w:sz w:val="32"/>
        </w:rPr>
        <w:t>（二）支出预算：</w:t>
      </w:r>
      <w:r>
        <w:rPr>
          <w:rFonts w:eastAsia="方正仿宋_GBK"/>
          <w:sz w:val="32"/>
        </w:rPr>
        <w:t>2024年年初预算数3988.92万元，其中：一般公共服务支出预算2840.99万元，社会保障和就业支出预算431.38万元，城乡社区支出300万元，卫生健康支出预算191.56万元，住房保障支出预算224.99万元。支出预算较2023年减少592.28万元，主要原因是按上级政策要求，预算单位要严格按“三定”方案设置，一级预算单位中共重庆市开州区委巡察工作领导小组办公室及其二级预算单位重庆市开州区巡察工作信息联络中心于今年从我部门独立开，人员支出减少导致一般公共预算资金减少892.28万元；留置场所运行经费300万元纳入政府性基金预算。</w:t>
      </w:r>
    </w:p>
    <w:p>
      <w:pPr>
        <w:spacing w:line="594" w:lineRule="exact"/>
        <w:ind w:left="640"/>
        <w:rPr>
          <w:rFonts w:eastAsia="方正黑体_GBK"/>
          <w:sz w:val="32"/>
        </w:rPr>
      </w:pPr>
      <w:r>
        <w:rPr>
          <w:rFonts w:eastAsia="方正黑体_GBK"/>
          <w:sz w:val="32"/>
        </w:rPr>
        <w:t>三、部门预算情况说明</w:t>
      </w:r>
    </w:p>
    <w:p>
      <w:pPr>
        <w:spacing w:line="594" w:lineRule="exact"/>
        <w:ind w:firstLine="640" w:firstLineChars="200"/>
        <w:rPr>
          <w:rFonts w:eastAsia="方正仿宋_GBK"/>
          <w:sz w:val="32"/>
        </w:rPr>
      </w:pPr>
      <w:r>
        <w:rPr>
          <w:rFonts w:eastAsia="方正仿宋_GBK"/>
          <w:sz w:val="32"/>
        </w:rPr>
        <w:t>2024年一般公共预算财政拨款收入3</w:t>
      </w:r>
      <w:r>
        <w:rPr>
          <w:rFonts w:hint="eastAsia" w:eastAsia="方正仿宋_GBK"/>
          <w:sz w:val="32"/>
        </w:rPr>
        <w:t>6</w:t>
      </w:r>
      <w:r>
        <w:rPr>
          <w:rFonts w:eastAsia="方正仿宋_GBK"/>
          <w:sz w:val="32"/>
        </w:rPr>
        <w:t>88.92万元，一般公共预算财政拨款支出3</w:t>
      </w:r>
      <w:r>
        <w:rPr>
          <w:rFonts w:hint="eastAsia" w:eastAsia="方正仿宋_GBK"/>
          <w:sz w:val="32"/>
        </w:rPr>
        <w:t>6</w:t>
      </w:r>
      <w:r>
        <w:rPr>
          <w:rFonts w:eastAsia="方正仿宋_GBK"/>
          <w:sz w:val="32"/>
        </w:rPr>
        <w:t>88.92万元，比2023年减少</w:t>
      </w:r>
      <w:r>
        <w:rPr>
          <w:rFonts w:hint="eastAsia" w:eastAsia="方正仿宋_GBK"/>
          <w:sz w:val="32"/>
        </w:rPr>
        <w:t>8</w:t>
      </w:r>
      <w:r>
        <w:rPr>
          <w:rFonts w:eastAsia="方正仿宋_GBK"/>
          <w:sz w:val="32"/>
        </w:rPr>
        <w:t>92.28万元。其中：基本支出3293.92万元，比2023年减少746.47万元，主要原因是一级预算单位中共重庆市开州区委巡察工作领导小组办公室及其二级预算单位重庆市开州区巡察工作信息联络中心于今年从我部门独立开，人员减少等，主要用于保障在职人员工资福利及社会保险缴费，离休人员离休费，退休人员补助等，保障部门正常运转的各项商品服务支出；项目支出395万元，比2023年减少145.81万元，主要原因是审查调查外查专项工作经费项目支出减少85万元、留置场所运行维护费项目减少60万元、遗属补助0.81万元未纳入项目支出等，主要用于办信办案等重点工作。</w:t>
      </w:r>
    </w:p>
    <w:p>
      <w:pPr>
        <w:spacing w:line="594" w:lineRule="exact"/>
        <w:ind w:firstLine="640" w:firstLineChars="200"/>
        <w:rPr>
          <w:rFonts w:eastAsia="方正仿宋_GBK"/>
          <w:sz w:val="32"/>
        </w:rPr>
      </w:pPr>
      <w:r>
        <w:rPr>
          <w:rFonts w:eastAsia="方正仿宋_GBK"/>
          <w:sz w:val="32"/>
        </w:rPr>
        <w:t>2024年政府性基金预算收入300万元，政府性基金预算支出300万元，比2023年增加300万元，主要原因是留置场所租赁费300万元纳入政府性基金预算收入，主要用于留置场所租赁费。</w:t>
      </w:r>
    </w:p>
    <w:p>
      <w:pPr>
        <w:spacing w:line="594" w:lineRule="exact"/>
        <w:ind w:left="640"/>
        <w:rPr>
          <w:rFonts w:eastAsia="方正仿宋_GBK"/>
          <w:sz w:val="32"/>
        </w:rPr>
      </w:pPr>
      <w:r>
        <w:rPr>
          <w:rFonts w:eastAsia="方正黑体_GBK"/>
          <w:sz w:val="32"/>
        </w:rPr>
        <w:t>四、“三公”经费情况说明</w:t>
      </w:r>
    </w:p>
    <w:p>
      <w:pPr>
        <w:spacing w:line="594" w:lineRule="exact"/>
        <w:ind w:firstLine="600"/>
        <w:rPr>
          <w:rFonts w:eastAsia="方正仿宋_GBK"/>
          <w:sz w:val="32"/>
        </w:rPr>
      </w:pPr>
      <w:r>
        <w:rPr>
          <w:rFonts w:eastAsia="方正仿宋_GBK"/>
          <w:sz w:val="32"/>
        </w:rPr>
        <w:t>2024年“三公”经费预算67.5万元，比2023年减少10.5万元。其中：因公出国（境）费用0万元，与2023年持平；公务接待费7.5万元，比2023年减少0.5万元；公务用车运行维护费60万元，比2023年减少10万元；公务用车购置费0万元，与2023年持平；主要原因是厉行节约，反对浪费，贯彻落实好过“紧日子”要求。</w:t>
      </w:r>
    </w:p>
    <w:p>
      <w:pPr>
        <w:spacing w:line="594" w:lineRule="exact"/>
        <w:ind w:left="640"/>
        <w:rPr>
          <w:rFonts w:eastAsia="方正黑体_GBK"/>
          <w:sz w:val="32"/>
        </w:rPr>
      </w:pPr>
      <w:r>
        <w:rPr>
          <w:rFonts w:eastAsia="方正黑体_GBK"/>
          <w:sz w:val="32"/>
        </w:rPr>
        <w:t>五、其他重要事项的情况说明</w:t>
      </w:r>
    </w:p>
    <w:p>
      <w:pPr>
        <w:spacing w:line="594" w:lineRule="exact"/>
        <w:ind w:firstLine="643" w:firstLineChars="200"/>
        <w:rPr>
          <w:rFonts w:eastAsia="方正仿宋_GBK"/>
          <w:sz w:val="32"/>
        </w:rPr>
      </w:pPr>
      <w:r>
        <w:rPr>
          <w:rFonts w:eastAsia="方正仿宋_GBK"/>
          <w:b/>
          <w:sz w:val="32"/>
        </w:rPr>
        <w:t>1. 机关运行经费。</w:t>
      </w:r>
      <w:r>
        <w:rPr>
          <w:rFonts w:eastAsia="方正仿宋_GBK"/>
          <w:sz w:val="32"/>
        </w:rPr>
        <w:t>2024年一般公共预算财政拨款运行经费381.22万元，比上年减少184.82万元，主要原因是一级预算单位中共重庆市开州区委巡察工作领导小组办公室及其二级预算单位重庆市开州区巡察工作信息联络中心于今年从我部门独立开，人员减少，导致机关运行经费减少。主要用于办公费、印刷费、邮电费、水电费、物管费、差旅费、会议费、培训费及其他商品和服务支出等。</w:t>
      </w:r>
    </w:p>
    <w:p>
      <w:pPr>
        <w:spacing w:line="594" w:lineRule="exact"/>
        <w:ind w:firstLine="643" w:firstLineChars="200"/>
        <w:rPr>
          <w:rFonts w:eastAsia="方正仿宋_GBK"/>
          <w:sz w:val="32"/>
        </w:rPr>
      </w:pPr>
      <w:r>
        <w:rPr>
          <w:rFonts w:eastAsia="方正仿宋_GBK"/>
          <w:b/>
          <w:sz w:val="32"/>
        </w:rPr>
        <w:t>2. 政府采购情况。</w:t>
      </w:r>
      <w:r>
        <w:rPr>
          <w:rFonts w:eastAsia="方正仿宋_GBK"/>
          <w:sz w:val="32"/>
        </w:rPr>
        <w:t>所属各预算单位政府采购预算总额  0万元：政府采购货物预算0万元、政府采购工程预算0万元、政府采购服务预算0万元；其中一般公共预算拨款政府采购0万元：政府采购货物预算0万元、政府采购工程预算0万元、政府采购服务预算0万元。</w:t>
      </w:r>
    </w:p>
    <w:p>
      <w:pPr>
        <w:spacing w:line="594" w:lineRule="exact"/>
        <w:ind w:firstLine="643" w:firstLineChars="200"/>
        <w:rPr>
          <w:rFonts w:eastAsia="方正仿宋_GBK"/>
          <w:color w:val="000000"/>
          <w:sz w:val="32"/>
        </w:rPr>
      </w:pPr>
      <w:r>
        <w:rPr>
          <w:rFonts w:eastAsia="方正仿宋_GBK"/>
          <w:b/>
          <w:sz w:val="32"/>
        </w:rPr>
        <w:t>3. 绩效目标设置情况。</w:t>
      </w:r>
      <w:r>
        <w:rPr>
          <w:rFonts w:eastAsia="方正仿宋_GBK"/>
          <w:color w:val="000000"/>
          <w:sz w:val="32"/>
        </w:rPr>
        <w:t>2024年项目支出均实行了绩效目标管理，涉及一般公共预算当年财政拨款395万元。</w:t>
      </w:r>
    </w:p>
    <w:p>
      <w:pPr>
        <w:spacing w:line="594" w:lineRule="exact"/>
        <w:ind w:firstLine="643" w:firstLineChars="200"/>
        <w:rPr>
          <w:rFonts w:eastAsia="方正仿宋_GBK"/>
          <w:color w:val="000000"/>
          <w:sz w:val="32"/>
        </w:rPr>
      </w:pPr>
      <w:r>
        <w:rPr>
          <w:rFonts w:eastAsia="方正仿宋_GBK"/>
          <w:b/>
          <w:color w:val="000000"/>
          <w:sz w:val="32"/>
        </w:rPr>
        <w:t>4. 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2023年12月，所属各预算单位共有车辆13辆，其中一般公务用车0辆、执勤执法用车11辆，应急保障用车2辆。2024年一般公共预算安排购置车辆0辆，其中一般公务用车0辆、执勤执法用车0辆。</w:t>
      </w:r>
    </w:p>
    <w:p>
      <w:pPr>
        <w:spacing w:line="594" w:lineRule="exact"/>
        <w:ind w:firstLine="640" w:firstLineChars="200"/>
        <w:rPr>
          <w:rFonts w:eastAsia="方正仿宋_GBK"/>
          <w:sz w:val="32"/>
          <w:szCs w:val="32"/>
        </w:rPr>
      </w:pPr>
      <w:r>
        <w:rPr>
          <w:rFonts w:eastAsia="方正黑体_GBK"/>
          <w:sz w:val="32"/>
        </w:rPr>
        <w:t>六、专业性名词解释</w:t>
      </w:r>
    </w:p>
    <w:p>
      <w:pPr>
        <w:pStyle w:val="10"/>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0"/>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594" w:lineRule="exact"/>
        <w:ind w:firstLine="640"/>
        <w:jc w:val="left"/>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spacing w:line="594"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jc w:val="left"/>
        <w:rPr>
          <w:rFonts w:eastAsia="方正小标宋_GBK"/>
          <w:sz w:val="44"/>
          <w:szCs w:val="44"/>
        </w:rPr>
      </w:pPr>
      <w:r>
        <w:rPr>
          <w:rFonts w:eastAsia="方正小标宋_GBK"/>
          <w:sz w:val="44"/>
          <w:szCs w:val="44"/>
        </w:rPr>
        <w:br w:type="page"/>
      </w:r>
    </w:p>
    <w:p>
      <w:pPr>
        <w:spacing w:line="594" w:lineRule="exact"/>
        <w:jc w:val="center"/>
        <w:rPr>
          <w:rFonts w:eastAsia="方正小标宋_GBK"/>
          <w:sz w:val="44"/>
          <w:szCs w:val="44"/>
        </w:rPr>
      </w:pPr>
      <w:r>
        <w:rPr>
          <w:rFonts w:eastAsia="方正小标宋_GBK"/>
          <w:sz w:val="44"/>
          <w:szCs w:val="44"/>
        </w:rPr>
        <w:t>第二部分：2024年部门预算公开报表</w:t>
      </w:r>
    </w:p>
    <w:p>
      <w:pPr>
        <w:spacing w:line="594" w:lineRule="exact"/>
        <w:rPr>
          <w:rFonts w:eastAsia="方正仿宋_GBK"/>
          <w:sz w:val="32"/>
          <w:szCs w:val="32"/>
        </w:rPr>
      </w:pPr>
    </w:p>
    <w:p>
      <w:pPr>
        <w:spacing w:line="594" w:lineRule="exact"/>
        <w:rPr>
          <w:rFonts w:eastAsia="方正黑体_GBK"/>
          <w:sz w:val="32"/>
          <w:szCs w:val="32"/>
        </w:rPr>
      </w:pPr>
      <w:r>
        <w:rPr>
          <w:rFonts w:eastAsia="黑体"/>
          <w:sz w:val="32"/>
          <w:szCs w:val="32"/>
        </w:rPr>
        <w:t xml:space="preserve">    </w:t>
      </w:r>
      <w:r>
        <w:rPr>
          <w:rFonts w:eastAsia="方正黑体_GBK"/>
          <w:sz w:val="32"/>
          <w:szCs w:val="32"/>
        </w:rPr>
        <w:t>2024年部门预算公开报表（详见附表中国共产党重庆市开州区纪律检查委员会2024年部门预算公开报表）</w:t>
      </w:r>
    </w:p>
    <w:p>
      <w:pPr>
        <w:spacing w:line="594" w:lineRule="exact"/>
        <w:ind w:firstLine="315" w:firstLineChars="98"/>
        <w:rPr>
          <w:rFonts w:eastAsia="方正仿宋_GBK"/>
          <w:b/>
          <w:sz w:val="32"/>
        </w:rPr>
      </w:pPr>
    </w:p>
    <w:p>
      <w:pPr>
        <w:spacing w:line="594" w:lineRule="exact"/>
        <w:ind w:firstLine="315" w:firstLineChars="98"/>
        <w:rPr>
          <w:rFonts w:eastAsia="黑体"/>
          <w:sz w:val="32"/>
          <w:szCs w:val="32"/>
        </w:rPr>
      </w:pPr>
      <w:r>
        <w:rPr>
          <w:rFonts w:eastAsia="方正仿宋_GBK"/>
          <w:b/>
          <w:sz w:val="32"/>
        </w:rPr>
        <w:t>部门预算公开联系人：陈鑫  联系方式：023-52220470</w:t>
      </w: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spacing w:line="594" w:lineRule="exact"/>
        <w:rPr>
          <w:rFonts w:eastAsia="黑体"/>
          <w:sz w:val="32"/>
          <w:szCs w:val="32"/>
        </w:rPr>
      </w:pPr>
    </w:p>
    <w:p>
      <w:pPr>
        <w:adjustRightInd w:val="0"/>
        <w:snapToGrid w:val="0"/>
        <w:spacing w:line="594" w:lineRule="exact"/>
        <w:jc w:val="left"/>
        <w:rPr>
          <w:rFonts w:eastAsia="方正仿宋_GBK"/>
          <w:color w:val="000000"/>
          <w:sz w:val="28"/>
          <w:szCs w:val="28"/>
          <w:u w:val="single"/>
        </w:rPr>
      </w:pPr>
      <w:r>
        <w:rPr>
          <w:rFonts w:eastAsia="方正仿宋_GBK"/>
          <w:color w:val="000000"/>
          <w:sz w:val="28"/>
          <w:szCs w:val="28"/>
          <w:u w:val="single"/>
        </w:rPr>
        <w:t xml:space="preserve">                                                                 </w:t>
      </w:r>
    </w:p>
    <w:p>
      <w:pPr>
        <w:spacing w:line="594" w:lineRule="exact"/>
      </w:pPr>
      <w:r>
        <w:rPr>
          <w:rFonts w:eastAsia="方正仿宋_GBK"/>
          <w:sz w:val="28"/>
          <w:szCs w:val="28"/>
          <w:u w:val="single"/>
        </w:rPr>
        <w:t xml:space="preserve"> 中共重庆市开州区纪委办公室                 2024年3月21日印发   </w:t>
      </w:r>
    </w:p>
    <w:sectPr>
      <w:footerReference r:id="rId3" w:type="default"/>
      <w:footerReference r:id="rId4" w:type="even"/>
      <w:pgSz w:w="11906" w:h="16838"/>
      <w:pgMar w:top="1985" w:right="1446" w:bottom="1644" w:left="1446"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470733"/>
    </w:sdtPr>
    <w:sdtEndPr>
      <w:rPr>
        <w:rFonts w:ascii="Times New Roman" w:hAnsi="Times New Roman" w:cs="Times New Roman"/>
        <w:sz w:val="28"/>
        <w:szCs w:val="28"/>
      </w:rPr>
    </w:sdtEndPr>
    <w:sdtContent>
      <w:p>
        <w:pPr>
          <w:pStyle w:val="4"/>
          <w:ind w:left="210" w:leftChars="100" w:right="210" w:rightChars="100"/>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470746"/>
    </w:sdtPr>
    <w:sdtEndPr>
      <w:rPr>
        <w:rFonts w:ascii="Times New Roman" w:hAnsi="Times New Roman" w:cs="Times New Roman"/>
        <w:sz w:val="28"/>
        <w:szCs w:val="28"/>
      </w:rPr>
    </w:sdtEndPr>
    <w:sdtContent>
      <w:p>
        <w:pPr>
          <w:pStyle w:val="4"/>
          <w:ind w:left="210" w:leftChars="100" w:right="210" w:rightChars="100"/>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736D"/>
    <w:rsid w:val="00013FB9"/>
    <w:rsid w:val="00014033"/>
    <w:rsid w:val="00015F51"/>
    <w:rsid w:val="00021D82"/>
    <w:rsid w:val="0005241B"/>
    <w:rsid w:val="000714FE"/>
    <w:rsid w:val="0008525A"/>
    <w:rsid w:val="0011504A"/>
    <w:rsid w:val="00134304"/>
    <w:rsid w:val="0013682F"/>
    <w:rsid w:val="00142D2D"/>
    <w:rsid w:val="00143C15"/>
    <w:rsid w:val="001877D5"/>
    <w:rsid w:val="001D68A6"/>
    <w:rsid w:val="00204B85"/>
    <w:rsid w:val="00260167"/>
    <w:rsid w:val="00293E06"/>
    <w:rsid w:val="002C1D41"/>
    <w:rsid w:val="003623CE"/>
    <w:rsid w:val="004002F3"/>
    <w:rsid w:val="0041238F"/>
    <w:rsid w:val="0045707E"/>
    <w:rsid w:val="0046015B"/>
    <w:rsid w:val="00467336"/>
    <w:rsid w:val="00467A1F"/>
    <w:rsid w:val="0047047E"/>
    <w:rsid w:val="004F66C4"/>
    <w:rsid w:val="00504953"/>
    <w:rsid w:val="005345D8"/>
    <w:rsid w:val="005B710D"/>
    <w:rsid w:val="0060284A"/>
    <w:rsid w:val="00616259"/>
    <w:rsid w:val="00616F20"/>
    <w:rsid w:val="006578C5"/>
    <w:rsid w:val="006637E6"/>
    <w:rsid w:val="00664936"/>
    <w:rsid w:val="006866D1"/>
    <w:rsid w:val="006A6F0F"/>
    <w:rsid w:val="007767B3"/>
    <w:rsid w:val="00776C72"/>
    <w:rsid w:val="007840FD"/>
    <w:rsid w:val="00805A44"/>
    <w:rsid w:val="00887FBC"/>
    <w:rsid w:val="008B3866"/>
    <w:rsid w:val="0097495B"/>
    <w:rsid w:val="00987FBE"/>
    <w:rsid w:val="009D262C"/>
    <w:rsid w:val="009D7D43"/>
    <w:rsid w:val="00A229C9"/>
    <w:rsid w:val="00AD2D28"/>
    <w:rsid w:val="00B50960"/>
    <w:rsid w:val="00B76852"/>
    <w:rsid w:val="00BA20B0"/>
    <w:rsid w:val="00BA6280"/>
    <w:rsid w:val="00C50E2E"/>
    <w:rsid w:val="00C9736D"/>
    <w:rsid w:val="00CA112D"/>
    <w:rsid w:val="00CF1810"/>
    <w:rsid w:val="00D6605E"/>
    <w:rsid w:val="00D71E11"/>
    <w:rsid w:val="00D919DF"/>
    <w:rsid w:val="00DC1649"/>
    <w:rsid w:val="00DD1B21"/>
    <w:rsid w:val="00DF43E8"/>
    <w:rsid w:val="00E02BBD"/>
    <w:rsid w:val="00E64B9E"/>
    <w:rsid w:val="00E81644"/>
    <w:rsid w:val="00EB1662"/>
    <w:rsid w:val="00EB61A6"/>
    <w:rsid w:val="00F072C8"/>
    <w:rsid w:val="1133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Body Text Indent"/>
    <w:basedOn w:val="1"/>
    <w:link w:val="11"/>
    <w:uiPriority w:val="0"/>
    <w:pPr>
      <w:ind w:firstLine="640" w:firstLineChars="200"/>
    </w:pPr>
    <w:rPr>
      <w:rFonts w:ascii="仿宋_GB2312" w:eastAsia="仿宋_GB2312"/>
      <w:sz w:val="32"/>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uiPriority w:val="99"/>
    <w:rPr>
      <w:sz w:val="18"/>
      <w:szCs w:val="18"/>
    </w:rPr>
  </w:style>
  <w:style w:type="paragraph" w:customStyle="1" w:styleId="10">
    <w:name w:val="List Paragraph"/>
    <w:basedOn w:val="1"/>
    <w:qFormat/>
    <w:uiPriority w:val="34"/>
    <w:pPr>
      <w:ind w:firstLine="420" w:firstLineChars="200"/>
    </w:pPr>
    <w:rPr>
      <w:rFonts w:ascii="Calibri" w:hAnsi="Calibri"/>
      <w:szCs w:val="22"/>
    </w:rPr>
  </w:style>
  <w:style w:type="character" w:customStyle="1" w:styleId="11">
    <w:name w:val="正文文本缩进 Char"/>
    <w:basedOn w:val="6"/>
    <w:link w:val="3"/>
    <w:uiPriority w:val="0"/>
    <w:rPr>
      <w:rFonts w:ascii="仿宋_GB2312" w:hAnsi="Times New Roman" w:eastAsia="仿宋_GB2312" w:cs="Times New Roman"/>
      <w:sz w:val="32"/>
      <w:szCs w:val="24"/>
    </w:rPr>
  </w:style>
  <w:style w:type="character" w:customStyle="1" w:styleId="12">
    <w:name w:val="正文文本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33427-0BCA-4EB9-8446-9963DE19E529}">
  <ds:schemaRefs/>
</ds:datastoreItem>
</file>

<file path=docProps/app.xml><?xml version="1.0" encoding="utf-8"?>
<Properties xmlns="http://schemas.openxmlformats.org/officeDocument/2006/extended-properties" xmlns:vt="http://schemas.openxmlformats.org/officeDocument/2006/docPropsVTypes">
  <Template>Normal</Template>
  <Pages>10</Pages>
  <Words>577</Words>
  <Characters>3295</Characters>
  <Lines>27</Lines>
  <Paragraphs>7</Paragraphs>
  <TotalTime>0</TotalTime>
  <ScaleCrop>false</ScaleCrop>
  <LinksUpToDate>false</LinksUpToDate>
  <CharactersWithSpaces>3865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2024-03-08T02:05:00Z</dcterms:created>
  <dc:creator>asus</dc:creator>
  <cp:lastModifiedBy>张雷</cp:lastModifiedBy>
  <dcterms:modified xsi:type="dcterms:W3CDTF">2024-03-29T07:06:30Z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