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8820"/>
          <w:tab w:val="left" w:pos="9000"/>
        </w:tabs>
        <w:ind w:firstLine="0" w:firstLineChars="0"/>
        <w:rPr>
          <w:rFonts w:hint="default" w:ascii="Times New Roman" w:hAnsi="Times New Roman" w:eastAsia="仿宋_GB2312" w:cs="Times New Roman"/>
          <w:lang w:val="en-US" w:eastAsia="zh-CN"/>
        </w:rPr>
      </w:pPr>
      <w:bookmarkStart w:id="0" w:name="_GoBack"/>
      <w:bookmarkEnd w:id="0"/>
      <w:r>
        <w:rPr>
          <w:rFonts w:hint="eastAsia" w:cs="Times New Roman"/>
          <w:lang w:val="en-US" w:eastAsia="zh-CN"/>
        </w:rPr>
        <w:t xml:space="preserve"> </w:t>
      </w:r>
    </w:p>
    <w:p>
      <w:pPr>
        <w:pStyle w:val="10"/>
        <w:tabs>
          <w:tab w:val="left" w:pos="8820"/>
          <w:tab w:val="left" w:pos="9000"/>
        </w:tabs>
        <w:ind w:firstLine="0" w:firstLineChars="0"/>
        <w:rPr>
          <w:rFonts w:hint="default" w:ascii="Times New Roman" w:hAnsi="Times New Roman" w:cs="Times New Roman"/>
        </w:rPr>
      </w:pPr>
    </w:p>
    <w:p>
      <w:pPr>
        <w:pStyle w:val="10"/>
        <w:tabs>
          <w:tab w:val="left" w:pos="8820"/>
          <w:tab w:val="left" w:pos="9000"/>
        </w:tabs>
        <w:ind w:firstLine="0" w:firstLineChars="0"/>
        <w:rPr>
          <w:rFonts w:hint="default" w:ascii="Times New Roman" w:hAnsi="Times New Roman" w:cs="Times New Roman"/>
          <w:sz w:val="30"/>
          <w:szCs w:val="30"/>
        </w:rPr>
      </w:pPr>
    </w:p>
    <w:p>
      <w:pPr>
        <w:pStyle w:val="10"/>
        <w:keepNext w:val="0"/>
        <w:keepLines w:val="0"/>
        <w:pageBreakBefore w:val="0"/>
        <w:widowControl w:val="0"/>
        <w:tabs>
          <w:tab w:val="left" w:pos="8820"/>
          <w:tab w:val="left" w:pos="9000"/>
        </w:tabs>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仿宋" w:cs="Times New Roman"/>
        </w:rPr>
      </w:pPr>
      <w:r>
        <w:rPr>
          <w:rFonts w:hint="default" w:ascii="Times New Roman" w:hAnsi="Times New Roman" w:eastAsia="黑体" w:cs="Times New Roman"/>
          <w:sz w:val="36"/>
          <w:szCs w:val="36"/>
        </w:rPr>
        <w:pict>
          <v:shape id="_x0000_i1025" o:spt="136" type="#_x0000_t136" style="height:60pt;width:458.95pt;" fillcolor="#FF0000" filled="t" stroked="t" coordsize="21600,21600" adj="10800">
            <v:path/>
            <v:fill on="t" color2="#FFFFFF" focussize="0,0"/>
            <v:stroke weight="1.75pt" color="#FF0000"/>
            <v:imagedata o:title=""/>
            <o:lock v:ext="edit" aspectratio="f"/>
            <v:textpath on="t" fitshape="t" fitpath="t" trim="t" xscale="f" string="重庆市开州区城市公园管理中心" style="font-family:宋体;font-size:32pt;v-rotate-letters:f;v-same-letter-heights:f;v-text-align:center;v-text-spacing:58983f;"/>
            <w10:wrap type="none"/>
            <w10:anchorlock/>
          </v:shape>
        </w:pict>
      </w:r>
    </w:p>
    <w:p>
      <w:pPr>
        <w:pStyle w:val="10"/>
        <w:keepNext w:val="0"/>
        <w:keepLines w:val="0"/>
        <w:pageBreakBefore w:val="0"/>
        <w:widowControl w:val="0"/>
        <w:tabs>
          <w:tab w:val="left" w:pos="8820"/>
          <w:tab w:val="left" w:pos="9000"/>
        </w:tabs>
        <w:kinsoku/>
        <w:wordWrap/>
        <w:overflowPunct/>
        <w:topLinePunct w:val="0"/>
        <w:autoSpaceDE/>
        <w:autoSpaceDN/>
        <w:bidi w:val="0"/>
        <w:adjustRightInd/>
        <w:snapToGrid/>
        <w:spacing w:line="200" w:lineRule="exact"/>
        <w:ind w:left="0" w:leftChars="0" w:firstLine="0" w:firstLineChars="0"/>
        <w:textAlignment w:val="auto"/>
        <w:outlineLvl w:val="9"/>
        <w:rPr>
          <w:rFonts w:hint="default" w:ascii="Times New Roman" w:hAnsi="Times New Roman" w:eastAsia="仿宋" w:cs="Times New Roman"/>
        </w:rPr>
      </w:pPr>
    </w:p>
    <w:p>
      <w:pPr>
        <w:pStyle w:val="10"/>
        <w:keepNext w:val="0"/>
        <w:keepLines w:val="0"/>
        <w:pageBreakBefore w:val="0"/>
        <w:widowControl w:val="0"/>
        <w:tabs>
          <w:tab w:val="left" w:pos="8820"/>
          <w:tab w:val="left" w:pos="9000"/>
        </w:tabs>
        <w:kinsoku/>
        <w:wordWrap/>
        <w:overflowPunct/>
        <w:topLinePunct w:val="0"/>
        <w:autoSpaceDE/>
        <w:autoSpaceDN/>
        <w:bidi w:val="0"/>
        <w:adjustRightInd/>
        <w:snapToGrid/>
        <w:spacing w:line="600" w:lineRule="exact"/>
        <w:ind w:left="0" w:leftChars="0" w:firstLine="0" w:firstLineChars="0"/>
        <w:textAlignment w:val="auto"/>
        <w:outlineLvl w:val="9"/>
        <w:rPr>
          <w:rFonts w:hint="eastAsia"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开州公园文</w:t>
      </w:r>
      <w:r>
        <w:rPr>
          <w:rFonts w:hint="default" w:ascii="Times New Roman" w:hAnsi="Times New Roman" w:eastAsia="仿宋" w:cs="Times New Roman"/>
        </w:rPr>
        <w:t>〔20</w:t>
      </w:r>
      <w:r>
        <w:rPr>
          <w:rFonts w:hint="default" w:ascii="Times New Roman" w:hAnsi="Times New Roman" w:eastAsia="仿宋" w:cs="Times New Roman"/>
          <w:lang w:val="en-US" w:eastAsia="zh-CN"/>
        </w:rPr>
        <w:t>2</w:t>
      </w:r>
      <w:r>
        <w:rPr>
          <w:rFonts w:hint="eastAsia" w:eastAsia="仿宋" w:cs="Times New Roman"/>
          <w:lang w:val="en-US" w:eastAsia="zh-CN"/>
        </w:rPr>
        <w:t>4</w:t>
      </w:r>
      <w:r>
        <w:rPr>
          <w:rFonts w:hint="default" w:ascii="Times New Roman" w:hAnsi="Times New Roman" w:eastAsia="仿宋" w:cs="Times New Roman"/>
          <w:color w:val="auto"/>
        </w:rPr>
        <w:t>〕</w:t>
      </w:r>
      <w:r>
        <w:rPr>
          <w:rFonts w:hint="eastAsia" w:eastAsia="仿宋" w:cs="Times New Roman"/>
          <w:color w:val="auto"/>
          <w:lang w:val="en-US" w:eastAsia="zh-CN"/>
        </w:rPr>
        <w:t>23</w:t>
      </w:r>
      <w:r>
        <w:rPr>
          <w:rFonts w:hint="default" w:ascii="Times New Roman" w:hAnsi="Times New Roman" w:eastAsia="方正仿宋_GBK" w:cs="Times New Roman"/>
          <w:kern w:val="2"/>
          <w:sz w:val="32"/>
          <w:szCs w:val="32"/>
          <w:lang w:val="en-US" w:eastAsia="zh-CN" w:bidi="ar-SA"/>
        </w:rPr>
        <w:t>号</w:t>
      </w:r>
      <w:r>
        <w:rPr>
          <w:rFonts w:hint="default" w:ascii="Times New Roman" w:hAnsi="Times New Roman" w:eastAsia="仿宋" w:cs="Times New Roman"/>
          <w:color w:val="0000FF"/>
        </w:rPr>
        <w:t xml:space="preserve">   </w:t>
      </w:r>
      <w:r>
        <w:rPr>
          <w:rFonts w:hint="default" w:ascii="Times New Roman" w:hAnsi="Times New Roman" w:eastAsia="仿宋" w:cs="Times New Roman"/>
          <w:color w:val="0000FF"/>
          <w:lang w:val="en-US" w:eastAsia="zh-CN"/>
        </w:rPr>
        <w:t xml:space="preserve"> </w:t>
      </w:r>
      <w:r>
        <w:rPr>
          <w:rFonts w:hint="default" w:ascii="Times New Roman" w:hAnsi="Times New Roman" w:eastAsia="仿宋" w:cs="Times New Roman"/>
        </w:rPr>
        <w:t xml:space="preserve">        </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 xml:space="preserve"> </w:t>
      </w:r>
      <w:r>
        <w:rPr>
          <w:rFonts w:hint="default" w:ascii="Times New Roman" w:hAnsi="Times New Roman" w:eastAsia="仿宋" w:cs="Times New Roman"/>
          <w:lang w:val="en-US" w:eastAsia="zh-CN"/>
        </w:rPr>
        <w:t xml:space="preserve"> </w:t>
      </w:r>
      <w:r>
        <w:rPr>
          <w:rFonts w:hint="default" w:ascii="Times New Roman" w:hAnsi="Times New Roman" w:eastAsia="方正楷体_GBK" w:cs="Times New Roman"/>
        </w:rPr>
        <w:t>签发人</w:t>
      </w:r>
      <w:r>
        <w:rPr>
          <w:rFonts w:hint="default" w:ascii="Times New Roman" w:hAnsi="Times New Roman" w:eastAsia="方正楷体简体" w:cs="Times New Roman"/>
        </w:rPr>
        <w:t>：</w:t>
      </w:r>
      <w:r>
        <w:rPr>
          <w:rFonts w:hint="eastAsia" w:eastAsia="方正仿宋_GBK" w:cs="Times New Roman"/>
          <w:kern w:val="2"/>
          <w:sz w:val="32"/>
          <w:szCs w:val="32"/>
          <w:lang w:val="en-US" w:eastAsia="zh-CN" w:bidi="ar-SA"/>
        </w:rPr>
        <w:t>曾维松</w:t>
      </w:r>
    </w:p>
    <w:p>
      <w:pPr>
        <w:pStyle w:val="10"/>
        <w:keepNext w:val="0"/>
        <w:keepLines w:val="0"/>
        <w:pageBreakBefore w:val="0"/>
        <w:widowControl w:val="0"/>
        <w:tabs>
          <w:tab w:val="left" w:pos="8820"/>
          <w:tab w:val="left" w:pos="9000"/>
        </w:tabs>
        <w:kinsoku/>
        <w:wordWrap/>
        <w:overflowPunct/>
        <w:topLinePunct w:val="0"/>
        <w:autoSpaceDE/>
        <w:autoSpaceDN/>
        <w:bidi w:val="0"/>
        <w:adjustRightInd/>
        <w:snapToGrid/>
        <w:spacing w:line="200" w:lineRule="exact"/>
        <w:ind w:left="0" w:leftChars="0" w:firstLine="0" w:firstLineChars="0"/>
        <w:textAlignment w:val="auto"/>
        <w:outlineLvl w:val="9"/>
        <w:rPr>
          <w:rFonts w:hint="default" w:ascii="Times New Roman" w:hAnsi="Times New Roman" w:eastAsia="方正仿宋简体" w:cs="Times New Roman"/>
          <w:lang w:eastAsia="zh-CN"/>
        </w:rPr>
      </w:pPr>
      <w:r>
        <w:rPr>
          <w:rFonts w:eastAsia="方正小标宋简体"/>
          <w:sz w:val="42"/>
          <w:szCs w:val="44"/>
          <w:u w:val="thick" w:color="FF0000"/>
        </w:rPr>
        <w:t xml:space="preserve">        </w:t>
      </w:r>
      <w:r>
        <w:rPr>
          <w:rFonts w:hint="eastAsia" w:eastAsia="方正小标宋简体"/>
          <w:sz w:val="42"/>
          <w:szCs w:val="44"/>
          <w:u w:val="thick" w:color="FF0000"/>
          <w:lang w:val="en-US" w:eastAsia="zh-CN"/>
        </w:rPr>
        <w:t xml:space="preserve">       </w:t>
      </w:r>
      <w:r>
        <w:rPr>
          <w:rFonts w:eastAsia="方正小标宋简体"/>
          <w:sz w:val="42"/>
          <w:szCs w:val="44"/>
          <w:u w:val="thick" w:color="FF0000"/>
        </w:rPr>
        <w:t xml:space="preserve">                </w:t>
      </w:r>
      <w:r>
        <w:rPr>
          <w:rFonts w:hint="eastAsia" w:eastAsia="方正小标宋简体"/>
          <w:sz w:val="42"/>
          <w:szCs w:val="44"/>
          <w:u w:val="thick" w:color="FF0000"/>
          <w:lang w:val="en-US" w:eastAsia="zh-CN"/>
        </w:rPr>
        <w:t xml:space="preserve">  </w:t>
      </w:r>
      <w:r>
        <w:rPr>
          <w:rFonts w:eastAsia="方正小标宋简体"/>
          <w:sz w:val="42"/>
          <w:szCs w:val="44"/>
          <w:u w:val="thick" w:color="FF0000"/>
        </w:rPr>
        <w:t xml:space="preserve">            </w:t>
      </w:r>
    </w:p>
    <w:p>
      <w:pPr>
        <w:pStyle w:val="4"/>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color w:val="000000"/>
          <w:sz w:val="44"/>
          <w:szCs w:val="44"/>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szCs w:val="32"/>
          <w:lang w:val="en-US" w:eastAsia="zh-CN"/>
        </w:rPr>
      </w:pPr>
      <w:r>
        <w:rPr>
          <w:rFonts w:hint="default" w:ascii="Times New Roman" w:hAnsi="Times New Roman" w:eastAsia="方正小标宋_GBK" w:cs="Times New Roman"/>
          <w:color w:val="000000"/>
          <w:sz w:val="44"/>
          <w:szCs w:val="44"/>
        </w:rPr>
        <w:t>重庆市开州区城市公园管理中心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关于2024年部门预算情况公开的公告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按照有关财政预算公开的部署和要求，依据《中华人民共和国政府信息公开条例》（国务院令第492号）和重庆市开州区财政局《关于批复2024年部门预算的通知》（开</w:t>
      </w:r>
      <w:r>
        <w:rPr>
          <w:rFonts w:hint="default" w:ascii="Times New Roman" w:hAnsi="Times New Roman" w:eastAsia="方正仿宋_GBK" w:cs="Times New Roman"/>
          <w:sz w:val="32"/>
          <w:szCs w:val="32"/>
          <w:lang w:val="en-US" w:eastAsia="zh-CN"/>
        </w:rPr>
        <w:t>州</w:t>
      </w:r>
      <w:r>
        <w:rPr>
          <w:rFonts w:hint="default" w:ascii="Times New Roman" w:hAnsi="Times New Roman" w:eastAsia="方正仿宋_GBK" w:cs="Times New Roman"/>
          <w:sz w:val="32"/>
          <w:szCs w:val="32"/>
        </w:rPr>
        <w:t>财</w:t>
      </w:r>
      <w:r>
        <w:rPr>
          <w:rFonts w:hint="default" w:ascii="Times New Roman" w:hAnsi="Times New Roman" w:eastAsia="方正仿宋_GBK" w:cs="Times New Roman"/>
          <w:sz w:val="32"/>
          <w:szCs w:val="32"/>
          <w:lang w:val="en-US" w:eastAsia="zh-CN"/>
        </w:rPr>
        <w:t>建发</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w:t>
      </w:r>
      <w:r>
        <w:rPr>
          <w:rFonts w:hint="default" w:ascii="Times New Roman" w:hAnsi="Times New Roman" w:eastAsia="方正仿宋_GBK" w:cs="Times New Roman"/>
          <w:sz w:val="32"/>
          <w:szCs w:val="32"/>
          <w:lang w:val="en-US" w:eastAsia="zh-CN"/>
        </w:rPr>
        <w:t>重庆市开州区城市公园管理中心</w:t>
      </w:r>
      <w:r>
        <w:rPr>
          <w:rFonts w:hint="default" w:ascii="Times New Roman" w:hAnsi="Times New Roman" w:eastAsia="方正仿宋_GBK" w:cs="Times New Roman"/>
          <w:sz w:val="32"/>
          <w:szCs w:val="32"/>
        </w:rPr>
        <w:t>2024年部门预算批复情况公开如下：</w:t>
      </w:r>
    </w:p>
    <w:p>
      <w:pPr>
        <w:jc w:val="center"/>
        <w:rPr>
          <w:rFonts w:hint="default" w:ascii="Times New Roman" w:hAnsi="Times New Roman" w:eastAsia="方正黑体_GBK" w:cs="Times New Roman"/>
          <w:sz w:val="32"/>
          <w:szCs w:val="32"/>
        </w:rPr>
      </w:pPr>
    </w:p>
    <w:p>
      <w:pPr>
        <w:jc w:val="center"/>
        <w:rPr>
          <w:rFonts w:hint="default" w:ascii="Times New Roman" w:hAnsi="Times New Roman" w:eastAsia="方正黑体_GBK" w:cs="Times New Roman"/>
          <w:sz w:val="32"/>
          <w:szCs w:val="32"/>
        </w:rPr>
      </w:pPr>
    </w:p>
    <w:p>
      <w:pPr>
        <w:jc w:val="center"/>
        <w:rPr>
          <w:rFonts w:hint="default" w:ascii="Times New Roman" w:hAnsi="Times New Roman" w:eastAsia="方正小标宋_GBK" w:cs="Times New Roman"/>
          <w:sz w:val="44"/>
          <w:szCs w:val="44"/>
        </w:rPr>
      </w:pPr>
    </w:p>
    <w:p>
      <w:pPr>
        <w:jc w:val="both"/>
        <w:rPr>
          <w:rFonts w:hint="default" w:ascii="Times New Roman" w:hAnsi="Times New Roman" w:eastAsia="方正小标宋_GBK" w:cs="Times New Roman"/>
          <w:sz w:val="44"/>
          <w:szCs w:val="44"/>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rPr>
          <w:rFonts w:hint="default" w:ascii="Times New Roman" w:hAnsi="Times New Roman" w:cs="Times New Roman"/>
        </w:rPr>
      </w:pPr>
    </w:p>
    <w:p>
      <w:pPr>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rPr>
          <w:rFonts w:hint="default" w:ascii="Times New Roman" w:hAnsi="Times New Roman" w:cs="Times New Roman"/>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rPr>
          <w:rFonts w:hint="default" w:ascii="Times New Roman" w:hAnsi="Times New Roman" w:eastAsia="方正仿宋_GBK" w:cs="Times New Roman"/>
          <w:sz w:val="32"/>
          <w:szCs w:val="32"/>
        </w:rPr>
      </w:pPr>
    </w:p>
    <w:p>
      <w:pPr>
        <w:jc w:val="center"/>
        <w:rPr>
          <w:rFonts w:hint="default" w:ascii="Times New Roman" w:hAnsi="Times New Roman" w:cs="Times New Roman"/>
        </w:rPr>
      </w:pPr>
      <w:r>
        <w:rPr>
          <w:rFonts w:hint="default" w:ascii="Times New Roman" w:hAnsi="Times New Roman" w:eastAsia="方正楷体_GBK" w:cs="Times New Roman"/>
          <w:sz w:val="32"/>
          <w:szCs w:val="32"/>
        </w:rPr>
        <w:t>第二部分：2024年部门预算公开报表</w:t>
      </w:r>
    </w:p>
    <w:p>
      <w:pPr>
        <w:rPr>
          <w:rFonts w:hint="default" w:ascii="Times New Roman" w:hAnsi="Times New Roman" w:cs="Times New Roman"/>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val="en-US" w:eastAsia="zh-CN"/>
        </w:rPr>
        <w:t>重庆市开州区城市公园管理中心</w:t>
      </w:r>
      <w:r>
        <w:rPr>
          <w:rFonts w:hint="default" w:ascii="Times New Roman" w:hAnsi="Times New Roman" w:eastAsia="方正仿宋_GBK" w:cs="Times New Roman"/>
          <w:sz w:val="32"/>
          <w:szCs w:val="32"/>
        </w:rPr>
        <w:t>收支预算总表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val="en-US" w:eastAsia="zh-CN"/>
        </w:rPr>
        <w:t>重庆市开州区城市公园管理中心</w:t>
      </w:r>
      <w:r>
        <w:rPr>
          <w:rFonts w:hint="default" w:ascii="Times New Roman" w:hAnsi="Times New Roman" w:eastAsia="方正仿宋_GBK" w:cs="Times New Roman"/>
          <w:sz w:val="32"/>
          <w:szCs w:val="32"/>
        </w:rPr>
        <w:t>收入总表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val="en-US" w:eastAsia="zh-CN"/>
        </w:rPr>
        <w:t>重庆市开州区城市公园管理中心</w:t>
      </w:r>
      <w:r>
        <w:rPr>
          <w:rFonts w:hint="default" w:ascii="Times New Roman" w:hAnsi="Times New Roman" w:eastAsia="方正仿宋_GBK" w:cs="Times New Roman"/>
          <w:sz w:val="32"/>
          <w:szCs w:val="32"/>
        </w:rPr>
        <w:t>本年支出预算总表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val="en-US" w:eastAsia="zh-CN"/>
        </w:rPr>
        <w:t>重庆市开州区城市公园管理中心</w:t>
      </w:r>
      <w:r>
        <w:rPr>
          <w:rFonts w:hint="default" w:ascii="Times New Roman" w:hAnsi="Times New Roman" w:eastAsia="方正仿宋_GBK" w:cs="Times New Roman"/>
          <w:sz w:val="32"/>
          <w:szCs w:val="32"/>
        </w:rPr>
        <w:t>财政拨款收支预算总表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val="en-US" w:eastAsia="zh-CN"/>
        </w:rPr>
        <w:t>重庆市开州区城市公园管理中心</w:t>
      </w:r>
      <w:r>
        <w:rPr>
          <w:rFonts w:hint="default" w:ascii="Times New Roman" w:hAnsi="Times New Roman" w:eastAsia="方正仿宋_GBK" w:cs="Times New Roman"/>
          <w:sz w:val="32"/>
          <w:szCs w:val="32"/>
        </w:rPr>
        <w:t>本年一般公共预算支出预算表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val="en-US" w:eastAsia="zh-CN"/>
        </w:rPr>
        <w:t>重庆市开州区城市公园管理中心</w:t>
      </w:r>
      <w:r>
        <w:rPr>
          <w:rFonts w:hint="default" w:ascii="Times New Roman" w:hAnsi="Times New Roman" w:eastAsia="方正仿宋_GBK" w:cs="Times New Roman"/>
          <w:sz w:val="32"/>
          <w:szCs w:val="32"/>
        </w:rPr>
        <w:t>一般公共预算基本支出预算表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val="en-US" w:eastAsia="zh-CN"/>
        </w:rPr>
        <w:t>重庆市开州区城市公园管理中心</w:t>
      </w:r>
      <w:r>
        <w:rPr>
          <w:rFonts w:hint="default" w:ascii="Times New Roman" w:hAnsi="Times New Roman" w:eastAsia="方正仿宋_GBK" w:cs="Times New Roman"/>
          <w:sz w:val="32"/>
          <w:szCs w:val="32"/>
        </w:rPr>
        <w:t>一般公共预算“三公”经费支出预算表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val="en-US" w:eastAsia="zh-CN"/>
        </w:rPr>
        <w:t>重庆市开州区城市公园管理中心</w:t>
      </w:r>
      <w:r>
        <w:rPr>
          <w:rFonts w:hint="default" w:ascii="Times New Roman" w:hAnsi="Times New Roman" w:eastAsia="方正仿宋_GBK" w:cs="Times New Roman"/>
          <w:sz w:val="32"/>
          <w:szCs w:val="32"/>
        </w:rPr>
        <w:t>政府性基金预算支出预算表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val="en-US" w:eastAsia="zh-CN"/>
        </w:rPr>
        <w:t>重庆市开州区城市公园管理中心</w:t>
      </w:r>
      <w:r>
        <w:rPr>
          <w:rFonts w:hint="default" w:ascii="Times New Roman" w:hAnsi="Times New Roman" w:eastAsia="方正仿宋_GBK" w:cs="Times New Roman"/>
          <w:sz w:val="32"/>
          <w:szCs w:val="32"/>
        </w:rPr>
        <w:t>国有资本经营预算支出预算表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val="en-US" w:eastAsia="zh-CN"/>
        </w:rPr>
        <w:t>重庆市开州区城市公园管理中心</w:t>
      </w:r>
      <w:r>
        <w:rPr>
          <w:rFonts w:hint="default" w:ascii="Times New Roman" w:hAnsi="Times New Roman" w:eastAsia="方正仿宋_GBK" w:cs="Times New Roman"/>
          <w:sz w:val="32"/>
          <w:szCs w:val="32"/>
        </w:rPr>
        <w:t>项目支出表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表11、</w:t>
      </w:r>
      <w:r>
        <w:rPr>
          <w:rFonts w:hint="default" w:ascii="Times New Roman" w:hAnsi="Times New Roman" w:eastAsia="方正仿宋_GBK" w:cs="Times New Roman"/>
          <w:sz w:val="32"/>
          <w:szCs w:val="32"/>
          <w:lang w:val="en-US" w:eastAsia="zh-CN"/>
        </w:rPr>
        <w:t>重庆市开州区城市公园管理中心</w:t>
      </w:r>
      <w:r>
        <w:rPr>
          <w:rFonts w:hint="default" w:ascii="Times New Roman" w:hAnsi="Times New Roman" w:eastAsia="方正仿宋_GBK" w:cs="Times New Roman"/>
          <w:sz w:val="32"/>
          <w:szCs w:val="32"/>
        </w:rPr>
        <w:t>项目绩效目标表</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r>
        <w:rPr>
          <w:rFonts w:hint="default" w:ascii="Times New Roman" w:hAnsi="Times New Roman" w:eastAsia="方正小标宋_GBK" w:cs="Times New Roman"/>
          <w:sz w:val="44"/>
          <w:szCs w:val="44"/>
        </w:rPr>
        <w:t>第一部分：2024年部门预算情况说明</w:t>
      </w:r>
    </w:p>
    <w:p>
      <w:pPr>
        <w:spacing w:line="600" w:lineRule="exact"/>
        <w:ind w:firstLine="880" w:firstLineChars="200"/>
        <w:jc w:val="center"/>
        <w:rPr>
          <w:rFonts w:hint="default" w:ascii="Times New Roman" w:hAnsi="Times New Roman" w:eastAsia="华文中宋" w:cs="Times New Roman"/>
          <w:sz w:val="44"/>
          <w:szCs w:val="44"/>
        </w:rPr>
      </w:pP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为市民提供休闲场所，丰富人民群众文化生活。主要职责为：</w:t>
      </w:r>
    </w:p>
    <w:p>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1.承担综合性公园、专类公园、游艺机游乐园等城市公园管理工作。</w:t>
      </w:r>
    </w:p>
    <w:p>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2.休闲场所提供。</w:t>
      </w:r>
    </w:p>
    <w:p>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3.公园设施维护与管理。</w:t>
      </w:r>
    </w:p>
    <w:p>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4</w:t>
      </w:r>
      <w:r>
        <w:rPr>
          <w:rFonts w:hint="default" w:ascii="Times New Roman" w:hAnsi="Times New Roman" w:eastAsia="仿宋_GB2312" w:cs="Times New Roman"/>
          <w:sz w:val="32"/>
        </w:rPr>
        <w:t>.公园游览与娱乐项目组织管理。</w:t>
      </w:r>
    </w:p>
    <w:p>
      <w:pPr>
        <w:spacing w:line="600" w:lineRule="exact"/>
        <w:ind w:firstLine="640" w:firstLineChars="200"/>
        <w:rPr>
          <w:rFonts w:hint="default" w:ascii="Times New Roman" w:hAnsi="Times New Roman" w:eastAsia="方正仿宋_GBK" w:cs="Times New Roman"/>
          <w:color w:val="FF0000"/>
          <w:sz w:val="32"/>
          <w:szCs w:val="32"/>
        </w:rPr>
      </w:pP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.科普宣传教育及相关社会服务。</w:t>
      </w:r>
    </w:p>
    <w:p>
      <w:pPr>
        <w:pStyle w:val="16"/>
        <w:tabs>
          <w:tab w:val="center" w:pos="4153"/>
          <w:tab w:val="left" w:pos="7275"/>
        </w:tabs>
        <w:spacing w:line="600" w:lineRule="exact"/>
        <w:ind w:left="640" w:firstLine="0" w:firstLineChars="0"/>
        <w:jc w:val="left"/>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pStyle w:val="16"/>
        <w:tabs>
          <w:tab w:val="center" w:pos="4153"/>
          <w:tab w:val="left" w:pos="7275"/>
        </w:tabs>
        <w:spacing w:line="600" w:lineRule="exact"/>
        <w:ind w:firstLine="64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重庆市开州区城市公园管理中心</w:t>
      </w:r>
      <w:r>
        <w:rPr>
          <w:rFonts w:hint="default" w:ascii="Times New Roman" w:hAnsi="Times New Roman" w:eastAsia="方正仿宋_GBK" w:cs="Times New Roman"/>
          <w:sz w:val="32"/>
        </w:rPr>
        <w:t>单位内设机构3个，分别</w:t>
      </w:r>
      <w:r>
        <w:rPr>
          <w:rFonts w:hint="default" w:ascii="Times New Roman" w:hAnsi="Times New Roman" w:eastAsia="方正仿宋_GBK" w:cs="Times New Roman"/>
          <w:sz w:val="32"/>
          <w:highlight w:val="none"/>
        </w:rPr>
        <w:t>为运行管理所、服务管理所、办公室</w:t>
      </w:r>
      <w:r>
        <w:rPr>
          <w:rFonts w:hint="default" w:ascii="Times New Roman" w:hAnsi="Times New Roman" w:eastAsia="方正仿宋_GBK" w:cs="Times New Roman"/>
          <w:sz w:val="32"/>
        </w:rPr>
        <w:t>。</w:t>
      </w:r>
    </w:p>
    <w:p>
      <w:pPr>
        <w:pStyle w:val="16"/>
        <w:tabs>
          <w:tab w:val="center" w:pos="4153"/>
          <w:tab w:val="left" w:pos="7275"/>
        </w:tabs>
        <w:spacing w:line="600" w:lineRule="exact"/>
        <w:ind w:firstLine="64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从单位构成看，本单位是二级预算单位，主管部门为重庆市开州区城市管理局。</w:t>
      </w:r>
    </w:p>
    <w:p>
      <w:pPr>
        <w:spacing w:line="600" w:lineRule="exact"/>
        <w:ind w:left="640"/>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highlight w:val="none"/>
        </w:rPr>
        <w:t>二、部门收支总体情况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2024年年初预算数</w:t>
      </w:r>
      <w:r>
        <w:rPr>
          <w:rFonts w:hint="default" w:ascii="Times New Roman" w:hAnsi="Times New Roman" w:eastAsia="方正仿宋_GBK" w:cs="Times New Roman"/>
          <w:sz w:val="32"/>
          <w:lang w:val="en-US" w:eastAsia="zh-CN"/>
        </w:rPr>
        <w:t>274.14</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274.14</w:t>
      </w:r>
      <w:r>
        <w:rPr>
          <w:rFonts w:hint="default" w:ascii="Times New Roman" w:hAnsi="Times New Roman" w:eastAsia="方正仿宋_GBK" w:cs="Times New Roman"/>
          <w:sz w:val="32"/>
        </w:rPr>
        <w:t>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含上年结转结余0万元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万元，其他收入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val="en-US" w:eastAsia="zh-CN"/>
        </w:rPr>
        <w:t>按上级政策要求，预算单位要严格按“三定”方案设置，我部门为2024年新设置预算单位，无法与上年同期数进行比较。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2024年年初预算数</w:t>
      </w:r>
      <w:r>
        <w:rPr>
          <w:rFonts w:hint="default" w:ascii="Times New Roman" w:hAnsi="Times New Roman" w:eastAsia="方正仿宋_GBK" w:cs="Times New Roman"/>
          <w:sz w:val="32"/>
          <w:lang w:val="en-US" w:eastAsia="zh-CN"/>
        </w:rPr>
        <w:t>274.14</w:t>
      </w:r>
      <w:r>
        <w:rPr>
          <w:rFonts w:hint="default" w:ascii="Times New Roman" w:hAnsi="Times New Roman" w:eastAsia="方正仿宋_GBK" w:cs="Times New Roman"/>
          <w:sz w:val="32"/>
        </w:rPr>
        <w:t>万元，其中：一般公共服务支出预算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万元，教育支出预算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万元，社会保障和就业支出预算</w:t>
      </w:r>
      <w:r>
        <w:rPr>
          <w:rFonts w:hint="default" w:ascii="Times New Roman" w:hAnsi="Times New Roman" w:eastAsia="方正仿宋_GBK" w:cs="Times New Roman"/>
          <w:sz w:val="32"/>
          <w:lang w:val="en-US" w:eastAsia="zh-CN"/>
        </w:rPr>
        <w:t>27.7</w:t>
      </w:r>
      <w:r>
        <w:rPr>
          <w:rFonts w:hint="default" w:ascii="Times New Roman" w:hAnsi="Times New Roman" w:eastAsia="方正仿宋_GBK" w:cs="Times New Roman"/>
          <w:sz w:val="32"/>
        </w:rPr>
        <w:t>万元，卫生健康支出预算</w:t>
      </w:r>
      <w:r>
        <w:rPr>
          <w:rFonts w:hint="default" w:ascii="Times New Roman" w:hAnsi="Times New Roman" w:eastAsia="方正仿宋_GBK" w:cs="Times New Roman"/>
          <w:sz w:val="32"/>
          <w:lang w:val="en-US" w:eastAsia="zh-CN"/>
        </w:rPr>
        <w:t>13.71</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val="en-US" w:eastAsia="zh-CN"/>
        </w:rPr>
        <w:t>节能环保支出预算0万元，城乡社区支出预算218.87万元，农林水支出0万元，</w:t>
      </w:r>
      <w:r>
        <w:rPr>
          <w:rFonts w:hint="default" w:ascii="Times New Roman" w:hAnsi="Times New Roman" w:eastAsia="方正仿宋_GBK" w:cs="Times New Roman"/>
          <w:sz w:val="32"/>
        </w:rPr>
        <w:t>住房保障支出预算</w:t>
      </w:r>
      <w:r>
        <w:rPr>
          <w:rFonts w:hint="default" w:ascii="Times New Roman" w:hAnsi="Times New Roman" w:eastAsia="方正仿宋_GBK" w:cs="Times New Roman"/>
          <w:sz w:val="32"/>
          <w:lang w:val="en-US" w:eastAsia="zh-CN"/>
        </w:rPr>
        <w:t>13.85</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按上级政策要求，预算单位要严格按“三定”方案设置，我部门为2024年新设置预算单位，无法与上年同期数进行比较。</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spacing w:line="600" w:lineRule="exact"/>
        <w:ind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2024年一般公共预算财政拨款收入</w:t>
      </w:r>
      <w:r>
        <w:rPr>
          <w:rFonts w:hint="default" w:ascii="Times New Roman" w:hAnsi="Times New Roman" w:eastAsia="方正仿宋_GBK" w:cs="Times New Roman"/>
          <w:sz w:val="32"/>
          <w:lang w:val="en-US" w:eastAsia="zh-CN"/>
        </w:rPr>
        <w:t>274.14</w:t>
      </w:r>
      <w:r>
        <w:rPr>
          <w:rFonts w:hint="default" w:ascii="Times New Roman" w:hAnsi="Times New Roman" w:eastAsia="方正仿宋_GBK" w:cs="Times New Roman"/>
          <w:sz w:val="32"/>
        </w:rPr>
        <w:t>万元，一般公共预算财政拨款支出</w:t>
      </w:r>
      <w:r>
        <w:rPr>
          <w:rFonts w:hint="default" w:ascii="Times New Roman" w:hAnsi="Times New Roman" w:eastAsia="方正仿宋_GBK" w:cs="Times New Roman"/>
          <w:sz w:val="32"/>
          <w:lang w:val="en-US" w:eastAsia="zh-CN"/>
        </w:rPr>
        <w:t>274.14</w:t>
      </w:r>
      <w:r>
        <w:rPr>
          <w:rFonts w:hint="default" w:ascii="Times New Roman" w:hAnsi="Times New Roman" w:eastAsia="方正仿宋_GBK" w:cs="Times New Roman"/>
          <w:sz w:val="32"/>
        </w:rPr>
        <w:t>万元，其中：基本支出</w:t>
      </w:r>
      <w:r>
        <w:rPr>
          <w:rFonts w:hint="default" w:ascii="Times New Roman" w:hAnsi="Times New Roman" w:eastAsia="方正仿宋_GBK" w:cs="Times New Roman"/>
          <w:sz w:val="32"/>
          <w:lang w:val="en-US" w:eastAsia="zh-CN"/>
        </w:rPr>
        <w:t>274.14</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val="en-US" w:eastAsia="zh-CN"/>
        </w:rPr>
        <w:t>按上级政策要求，预算单位要严格按“三定”方案设置，我部门为2024年新设置预算单位，无法与上年同期数进行比较。</w:t>
      </w:r>
      <w:r>
        <w:rPr>
          <w:rFonts w:hint="default" w:ascii="Times New Roman" w:hAnsi="Times New Roman" w:eastAsia="方正仿宋_GBK" w:cs="Times New Roman"/>
          <w:sz w:val="32"/>
        </w:rPr>
        <w:t>主要用于保障在职人员工资福利及社会保险缴费，离休人员离休费，退休人员补助等，保障部门正常运转的各项商品服务支出；项目支出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val="en-US" w:eastAsia="zh-CN"/>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2024年政府性基金预算收入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万元，政府性基金预算支出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val="en-US" w:eastAsia="zh-CN"/>
        </w:rPr>
        <w:t>按上级政策要求，预算单位要严格按“三定”方案设置，我部门为2024年新设置预算单位，无法与上年同期数进行比较。</w:t>
      </w: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2024年“三公”经费预算</w:t>
      </w:r>
      <w:r>
        <w:rPr>
          <w:rFonts w:hint="default" w:ascii="Times New Roman" w:hAnsi="Times New Roman" w:eastAsia="方正仿宋_GBK" w:cs="Times New Roman"/>
          <w:sz w:val="32"/>
          <w:lang w:val="en-US" w:eastAsia="zh-CN"/>
        </w:rPr>
        <w:t>0.3</w:t>
      </w:r>
      <w:r>
        <w:rPr>
          <w:rFonts w:hint="default" w:ascii="Times New Roman" w:hAnsi="Times New Roman" w:eastAsia="方正仿宋_GBK" w:cs="Times New Roman"/>
          <w:sz w:val="32"/>
        </w:rPr>
        <w:t xml:space="preserve">万元，其中：因公出国（境）费用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万元；公务接待费</w:t>
      </w:r>
      <w:r>
        <w:rPr>
          <w:rFonts w:hint="default" w:ascii="Times New Roman" w:hAnsi="Times New Roman" w:eastAsia="方正仿宋_GBK" w:cs="Times New Roman"/>
          <w:sz w:val="32"/>
          <w:lang w:val="en-US" w:eastAsia="zh-CN"/>
        </w:rPr>
        <w:t>0.3</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公务用车运行维护费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val="en-US" w:eastAsia="zh-CN"/>
        </w:rPr>
        <w:t>按上级政策要求，预算单位要严格按“三定”方案设置，我部门为2024年新设置预算单位，无法与上年同期数进行比较。</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ind w:firstLine="643" w:firstLineChars="200"/>
        <w:rPr>
          <w:rFonts w:hint="default" w:ascii="Times New Roman" w:hAnsi="Times New Roman" w:eastAsia="方正仿宋_GBK" w:cs="Times New Roman"/>
          <w:color w:val="auto"/>
          <w:sz w:val="32"/>
          <w:lang w:eastAsia="zh-CN"/>
        </w:rPr>
      </w:pPr>
      <w:r>
        <w:rPr>
          <w:rFonts w:hint="default" w:ascii="Times New Roman" w:hAnsi="Times New Roman" w:eastAsia="方正仿宋_GBK" w:cs="Times New Roman"/>
          <w:b/>
          <w:bCs/>
          <w:sz w:val="32"/>
        </w:rPr>
        <w:t>1、机关运行经费。</w:t>
      </w:r>
      <w:r>
        <w:rPr>
          <w:rFonts w:hint="default" w:ascii="Times New Roman" w:hAnsi="Times New Roman" w:eastAsia="方正仿宋_GBK" w:cs="Times New Roman"/>
          <w:sz w:val="32"/>
          <w:lang w:eastAsia="zh-CN"/>
        </w:rPr>
        <w:t>我单位不在机关运行经费统计范围之内。</w:t>
      </w:r>
    </w:p>
    <w:p>
      <w:pPr>
        <w:ind w:firstLine="643" w:firstLineChars="200"/>
        <w:rPr>
          <w:rFonts w:hint="default" w:ascii="Times New Roman" w:hAnsi="Times New Roman" w:eastAsia="方正仿宋_GBK" w:cs="Times New Roman"/>
          <w:color w:val="auto"/>
          <w:sz w:val="32"/>
        </w:rPr>
      </w:pPr>
      <w:r>
        <w:rPr>
          <w:rFonts w:hint="default" w:ascii="Times New Roman" w:hAnsi="Times New Roman" w:eastAsia="方正仿宋_GBK" w:cs="Times New Roman"/>
          <w:b/>
          <w:color w:val="auto"/>
          <w:sz w:val="32"/>
        </w:rPr>
        <w:t>2、政府采购情况。</w:t>
      </w:r>
      <w:r>
        <w:rPr>
          <w:rFonts w:hint="default" w:ascii="Times New Roman" w:hAnsi="Times New Roman" w:eastAsia="方正仿宋_GBK" w:cs="Times New Roman"/>
          <w:color w:val="auto"/>
          <w:sz w:val="32"/>
        </w:rPr>
        <w:t>所属各预算单位政府采购预算总额</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rPr>
        <w:t>万元：政府采购货物预算</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rPr>
        <w:t>万元、政府采购工程预算</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rPr>
        <w:t>万元、政府采购服务预算</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rPr>
        <w:t>万元；其中一般公共预算拨款政府采购</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rPr>
        <w:t>万元：政府采购货物预算</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rPr>
        <w:t>万元、政府采购工程预算</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rPr>
        <w:t>万元、政府采购服务预算</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rPr>
        <w:t>万元。</w:t>
      </w:r>
    </w:p>
    <w:p>
      <w:pPr>
        <w:ind w:firstLine="643"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b/>
          <w:sz w:val="32"/>
        </w:rPr>
        <w:t>3、绩效目标设置情况。</w:t>
      </w:r>
      <w:r>
        <w:rPr>
          <w:rFonts w:hint="eastAsia" w:eastAsia="方正仿宋_GBK" w:cs="Times New Roman"/>
          <w:color w:val="000000"/>
          <w:sz w:val="32"/>
          <w:lang w:val="en-US" w:eastAsia="zh-CN"/>
        </w:rPr>
        <w:t>本单位无相关收支</w:t>
      </w:r>
      <w:r>
        <w:rPr>
          <w:rFonts w:hint="default" w:ascii="Times New Roman" w:hAnsi="Times New Roman" w:eastAsia="方正仿宋_GBK" w:cs="Times New Roman"/>
          <w:color w:val="000000"/>
          <w:sz w:val="32"/>
        </w:rPr>
        <w:t>。</w:t>
      </w:r>
    </w:p>
    <w:p>
      <w:pPr>
        <w:ind w:firstLine="643"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b/>
          <w:color w:val="000000"/>
          <w:sz w:val="32"/>
        </w:rPr>
        <w:t>4、国有资产占有使用情况。</w:t>
      </w:r>
      <w:r>
        <w:rPr>
          <w:rFonts w:hint="eastAsia" w:eastAsia="方正仿宋_GBK" w:cs="Times New Roman"/>
          <w:color w:val="000000"/>
          <w:sz w:val="32"/>
          <w:lang w:eastAsia="zh-CN"/>
        </w:rPr>
        <w:t>截至</w:t>
      </w:r>
      <w:r>
        <w:rPr>
          <w:rFonts w:hint="default" w:ascii="Times New Roman" w:hAnsi="Times New Roman" w:eastAsia="方正仿宋_GBK" w:cs="Times New Roman"/>
          <w:color w:val="000000"/>
          <w:sz w:val="32"/>
        </w:rPr>
        <w:t>2023年12月，所属各预算单位共有车辆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r>
        <w:rPr>
          <w:rFonts w:hint="default" w:ascii="Times New Roman" w:hAnsi="Times New Roman" w:eastAsia="方正仿宋_GBK" w:cs="Times New Roman"/>
          <w:color w:val="auto"/>
          <w:sz w:val="32"/>
          <w:highlight w:val="none"/>
        </w:rPr>
        <w:t>。202</w:t>
      </w:r>
      <w:r>
        <w:rPr>
          <w:rFonts w:hint="default" w:ascii="Times New Roman" w:hAnsi="Times New Roman" w:eastAsia="方正仿宋_GBK" w:cs="Times New Roman"/>
          <w:color w:val="000000"/>
          <w:sz w:val="32"/>
        </w:rPr>
        <w:t>4年一般公共预算安排购置车辆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16"/>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6"/>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16"/>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6"/>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6"/>
        <w:tabs>
          <w:tab w:val="center" w:pos="4153"/>
          <w:tab w:val="left" w:pos="7275"/>
        </w:tabs>
        <w:spacing w:line="600" w:lineRule="exact"/>
        <w:ind w:left="0" w:leftChars="0" w:firstLine="0" w:firstLineChars="0"/>
        <w:jc w:val="left"/>
        <w:rPr>
          <w:rFonts w:hint="eastAsia" w:ascii="Times New Roman" w:hAnsi="Times New Roman" w:eastAsia="方正楷体_GBK" w:cs="Times New Roman"/>
          <w:sz w:val="32"/>
          <w:szCs w:val="32"/>
          <w:lang w:val="en-US" w:eastAsia="zh-CN"/>
        </w:rPr>
      </w:pPr>
    </w:p>
    <w:p>
      <w:pPr>
        <w:pStyle w:val="16"/>
        <w:tabs>
          <w:tab w:val="center" w:pos="4153"/>
          <w:tab w:val="left" w:pos="7275"/>
        </w:tabs>
        <w:spacing w:line="600" w:lineRule="exact"/>
        <w:ind w:left="0" w:leftChars="0" w:firstLine="0" w:firstLineChars="0"/>
        <w:jc w:val="left"/>
        <w:rPr>
          <w:rFonts w:hint="eastAsia" w:ascii="Times New Roman" w:hAnsi="Times New Roman" w:eastAsia="方正楷体_GBK" w:cs="Times New Roman"/>
          <w:sz w:val="32"/>
          <w:szCs w:val="32"/>
          <w:lang w:val="en-US" w:eastAsia="zh-CN"/>
        </w:rPr>
      </w:pPr>
    </w:p>
    <w:p>
      <w:pPr>
        <w:pStyle w:val="16"/>
        <w:tabs>
          <w:tab w:val="center" w:pos="4153"/>
          <w:tab w:val="left" w:pos="7275"/>
        </w:tabs>
        <w:spacing w:line="600" w:lineRule="exact"/>
        <w:ind w:left="0" w:leftChars="0" w:firstLine="0" w:firstLineChars="0"/>
        <w:jc w:val="left"/>
        <w:rPr>
          <w:rFonts w:hint="eastAsia" w:ascii="Times New Roman" w:hAnsi="Times New Roman" w:eastAsia="方正楷体_GBK" w:cs="Times New Roman"/>
          <w:sz w:val="32"/>
          <w:szCs w:val="32"/>
          <w:lang w:val="en-US" w:eastAsia="zh-CN"/>
        </w:rPr>
      </w:pPr>
    </w:p>
    <w:p>
      <w:pPr>
        <w:pStyle w:val="16"/>
        <w:tabs>
          <w:tab w:val="center" w:pos="4153"/>
          <w:tab w:val="left" w:pos="7275"/>
        </w:tabs>
        <w:spacing w:line="600" w:lineRule="exact"/>
        <w:ind w:left="0" w:leftChars="0" w:firstLine="0" w:firstLineChars="0"/>
        <w:jc w:val="left"/>
        <w:rPr>
          <w:rFonts w:hint="eastAsia" w:ascii="Times New Roman" w:hAnsi="Times New Roman" w:eastAsia="方正楷体_GBK" w:cs="Times New Roman"/>
          <w:sz w:val="32"/>
          <w:szCs w:val="32"/>
          <w:lang w:val="en-US" w:eastAsia="zh-CN"/>
        </w:rPr>
      </w:pPr>
    </w:p>
    <w:p>
      <w:pPr>
        <w:pStyle w:val="16"/>
        <w:tabs>
          <w:tab w:val="center" w:pos="4153"/>
          <w:tab w:val="left" w:pos="7275"/>
        </w:tabs>
        <w:spacing w:line="600" w:lineRule="exact"/>
        <w:ind w:left="0" w:leftChars="0" w:firstLine="0" w:firstLineChars="0"/>
        <w:jc w:val="left"/>
        <w:rPr>
          <w:rFonts w:hint="eastAsia" w:ascii="Times New Roman" w:hAnsi="Times New Roman" w:eastAsia="方正楷体_GBK" w:cs="Times New Roman"/>
          <w:sz w:val="32"/>
          <w:szCs w:val="32"/>
          <w:lang w:val="en-US" w:eastAsia="zh-CN"/>
        </w:rPr>
      </w:pPr>
    </w:p>
    <w:p>
      <w:pPr>
        <w:spacing w:line="600" w:lineRule="exact"/>
        <w:ind w:firstLine="440" w:firstLineChars="100"/>
        <w:jc w:val="center"/>
        <w:rPr>
          <w:rFonts w:hint="default" w:ascii="Times New Roman" w:hAnsi="Times New Roman" w:eastAsia="方正小标宋_GBK" w:cs="Times New Roman"/>
          <w:sz w:val="44"/>
          <w:szCs w:val="44"/>
        </w:rPr>
      </w:pPr>
    </w:p>
    <w:p>
      <w:pPr>
        <w:spacing w:line="600" w:lineRule="exact"/>
        <w:ind w:firstLine="440" w:firstLineChars="1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ind w:firstLine="640" w:firstLineChars="200"/>
        <w:rPr>
          <w:rFonts w:hint="default" w:ascii="Times New Roman" w:hAnsi="Times New Roman" w:eastAsia="方正黑体_GBK" w:cs="Times New Roman"/>
          <w:sz w:val="32"/>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2024年部门预算公开报表（详见附表</w:t>
      </w:r>
      <w:r>
        <w:rPr>
          <w:rFonts w:hint="default" w:ascii="Times New Roman" w:hAnsi="Times New Roman" w:eastAsia="方正仿宋_GBK" w:cs="Times New Roman"/>
          <w:sz w:val="32"/>
          <w:szCs w:val="32"/>
          <w:lang w:val="en-US" w:eastAsia="zh-CN"/>
        </w:rPr>
        <w:t>重庆市开州区城市公园管理中心</w:t>
      </w:r>
      <w:r>
        <w:rPr>
          <w:rFonts w:hint="default" w:ascii="Times New Roman" w:hAnsi="Times New Roman" w:eastAsia="方正仿宋_GBK" w:cs="Times New Roman"/>
          <w:sz w:val="32"/>
          <w:szCs w:val="32"/>
        </w:rPr>
        <w:t>2024年部门预算公开报表）</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部门预算公开联系人：</w:t>
      </w:r>
      <w:r>
        <w:rPr>
          <w:rFonts w:hint="default" w:ascii="Times New Roman" w:hAnsi="Times New Roman" w:eastAsia="方正仿宋_GBK" w:cs="Times New Roman"/>
          <w:sz w:val="32"/>
          <w:szCs w:val="32"/>
          <w:lang w:val="en-US" w:eastAsia="zh-CN"/>
        </w:rPr>
        <w:t>田春梅</w:t>
      </w:r>
      <w:r>
        <w:rPr>
          <w:rFonts w:hint="default" w:ascii="Times New Roman" w:hAnsi="Times New Roman" w:eastAsia="方正仿宋_GBK" w:cs="Times New Roman"/>
          <w:sz w:val="32"/>
          <w:szCs w:val="32"/>
        </w:rPr>
        <w:t xml:space="preserve">  联系方式：023-</w:t>
      </w:r>
      <w:r>
        <w:rPr>
          <w:rFonts w:hint="default" w:ascii="Times New Roman" w:hAnsi="Times New Roman" w:eastAsia="方正仿宋_GBK" w:cs="Times New Roman"/>
          <w:sz w:val="32"/>
          <w:szCs w:val="32"/>
          <w:lang w:val="en-US" w:eastAsia="zh-CN"/>
        </w:rPr>
        <w:t>52669509</w:t>
      </w:r>
    </w:p>
    <w:p>
      <w:pPr>
        <w:keepNext w:val="0"/>
        <w:keepLines w:val="0"/>
        <w:pageBreakBefore w:val="0"/>
        <w:widowControl w:val="0"/>
        <w:kinsoku/>
        <w:wordWrap/>
        <w:overflowPunct/>
        <w:topLinePunct w:val="0"/>
        <w:autoSpaceDN/>
        <w:bidi w:val="0"/>
        <w:adjustRightInd/>
        <w:snapToGrid/>
        <w:spacing w:line="600" w:lineRule="exact"/>
        <w:ind w:left="0" w:leftChars="0" w:right="0" w:rightChars="0"/>
        <w:textAlignment w:val="auto"/>
        <w:rPr>
          <w:rFonts w:hint="default" w:ascii="Times New Roman" w:hAnsi="Times New Roman" w:eastAsia="仿宋" w:cs="Times New Roman"/>
          <w:lang w:val="en-US" w:eastAsia="zh-CN"/>
        </w:rPr>
      </w:pPr>
    </w:p>
    <w:p>
      <w:pPr>
        <w:keepNext w:val="0"/>
        <w:keepLines w:val="0"/>
        <w:pageBreakBefore w:val="0"/>
        <w:widowControl w:val="0"/>
        <w:kinsoku/>
        <w:wordWrap/>
        <w:overflowPunct/>
        <w:topLinePunct w:val="0"/>
        <w:autoSpaceDN/>
        <w:bidi w:val="0"/>
        <w:adjustRightInd/>
        <w:snapToGrid/>
        <w:spacing w:line="600" w:lineRule="exact"/>
        <w:ind w:right="0" w:rightChars="0" w:firstLine="4160" w:firstLineChars="1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重庆市开州区城市公园管理中心</w:t>
      </w:r>
    </w:p>
    <w:p>
      <w:pPr>
        <w:keepNext w:val="0"/>
        <w:keepLines w:val="0"/>
        <w:pageBreakBefore w:val="0"/>
        <w:widowControl w:val="0"/>
        <w:kinsoku/>
        <w:wordWrap/>
        <w:overflowPunct/>
        <w:topLinePunct w:val="0"/>
        <w:autoSpaceDN/>
        <w:bidi w:val="0"/>
        <w:adjustRightInd/>
        <w:snapToGrid/>
        <w:spacing w:line="600" w:lineRule="exact"/>
        <w:ind w:right="0" w:rightChars="0" w:firstLine="5120" w:firstLineChars="16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2024年3月</w:t>
      </w:r>
      <w:r>
        <w:rPr>
          <w:rFonts w:hint="eastAsia" w:eastAsia="方正仿宋_GBK" w:cs="Times New Roman"/>
          <w:sz w:val="32"/>
          <w:szCs w:val="32"/>
          <w:lang w:val="en-US" w:eastAsia="zh-CN"/>
        </w:rPr>
        <w:t>21</w:t>
      </w:r>
      <w:r>
        <w:rPr>
          <w:rFonts w:hint="eastAsia"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N/>
        <w:bidi w:val="0"/>
        <w:adjustRightInd/>
        <w:snapToGrid/>
        <w:spacing w:line="600" w:lineRule="exact"/>
        <w:ind w:right="0" w:rightChars="0" w:firstLine="3520" w:firstLineChars="11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N/>
        <w:bidi w:val="0"/>
        <w:adjustRightInd/>
        <w:snapToGrid/>
        <w:spacing w:line="600" w:lineRule="exact"/>
        <w:ind w:right="0" w:rightChars="0" w:firstLine="3520" w:firstLineChars="1100"/>
        <w:textAlignment w:val="auto"/>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仿宋" w:cs="Times New Roman"/>
          <w:color w:val="000000"/>
          <w:sz w:val="32"/>
          <w:szCs w:val="32"/>
          <w:lang w:val="en-US" w:eastAsia="zh-CN"/>
        </w:rPr>
      </w:pPr>
    </w:p>
    <w:p>
      <w:pPr>
        <w:rPr>
          <w:rFonts w:hint="default" w:ascii="Times New Roman" w:hAnsi="Times New Roman" w:eastAsia="仿宋" w:cs="Times New Roman"/>
          <w:color w:val="000000"/>
          <w:sz w:val="32"/>
          <w:szCs w:val="32"/>
          <w:lang w:val="en-US" w:eastAsia="zh-CN"/>
        </w:rPr>
      </w:pPr>
    </w:p>
    <w:p>
      <w:pPr>
        <w:rPr>
          <w:rFonts w:hint="default" w:ascii="Times New Roman" w:hAnsi="Times New Roman" w:eastAsia="仿宋" w:cs="Times New Roman"/>
          <w:color w:val="000000"/>
          <w:sz w:val="32"/>
          <w:szCs w:val="32"/>
          <w:lang w:val="en-US" w:eastAsia="zh-CN"/>
        </w:rPr>
      </w:pPr>
    </w:p>
    <w:p>
      <w:pPr>
        <w:rPr>
          <w:rFonts w:hint="default" w:ascii="Times New Roman" w:hAnsi="Times New Roman" w:eastAsia="仿宋" w:cs="Times New Roman"/>
          <w:color w:val="000000"/>
          <w:sz w:val="32"/>
          <w:szCs w:val="32"/>
          <w:lang w:val="en-US" w:eastAsia="zh-CN"/>
        </w:rPr>
      </w:pPr>
    </w:p>
    <w:p>
      <w:pPr>
        <w:rPr>
          <w:rFonts w:hint="default" w:ascii="Times New Roman" w:hAnsi="Times New Roman" w:eastAsia="仿宋" w:cs="Times New Roman"/>
          <w:color w:val="000000"/>
          <w:sz w:val="32"/>
          <w:szCs w:val="32"/>
          <w:lang w:val="en-US" w:eastAsia="zh-CN"/>
        </w:rPr>
      </w:pPr>
    </w:p>
    <w:p>
      <w:pPr>
        <w:rPr>
          <w:rFonts w:hint="default" w:ascii="Times New Roman" w:hAnsi="Times New Roman" w:eastAsia="仿宋" w:cs="Times New Roman"/>
          <w:color w:val="000000"/>
          <w:sz w:val="32"/>
          <w:szCs w:val="32"/>
          <w:lang w:val="en-US" w:eastAsia="zh-CN"/>
        </w:rPr>
      </w:pPr>
    </w:p>
    <w:p>
      <w:pPr>
        <w:rPr>
          <w:rFonts w:hint="default" w:ascii="Times New Roman" w:hAnsi="Times New Roman" w:eastAsia="仿宋" w:cs="Times New Roman"/>
          <w:color w:val="000000"/>
          <w:sz w:val="32"/>
          <w:szCs w:val="32"/>
          <w:lang w:val="en-US" w:eastAsia="zh-CN"/>
        </w:rPr>
      </w:pPr>
    </w:p>
    <w:p>
      <w:pPr>
        <w:rPr>
          <w:rFonts w:hint="default" w:ascii="Times New Roman" w:hAnsi="Times New Roman" w:eastAsia="仿宋" w:cs="Times New Roman"/>
          <w:color w:val="000000"/>
          <w:sz w:val="32"/>
          <w:szCs w:val="32"/>
          <w:lang w:val="en-US" w:eastAsia="zh-CN"/>
        </w:rPr>
      </w:pPr>
    </w:p>
    <w:p>
      <w:pPr>
        <w:rPr>
          <w:rFonts w:hint="default" w:ascii="Times New Roman" w:hAnsi="Times New Roman" w:eastAsia="仿宋" w:cs="Times New Roman"/>
          <w:color w:val="000000"/>
          <w:sz w:val="32"/>
          <w:szCs w:val="32"/>
          <w:lang w:val="en-US" w:eastAsia="zh-CN"/>
        </w:rPr>
      </w:pPr>
    </w:p>
    <w:p>
      <w:pPr>
        <w:pStyle w:val="3"/>
        <w:rPr>
          <w:rFonts w:hint="default"/>
          <w:lang w:val="en-US" w:eastAsia="zh-CN"/>
        </w:rPr>
      </w:pPr>
    </w:p>
    <w:p>
      <w:pPr>
        <w:keepNext w:val="0"/>
        <w:keepLines w:val="0"/>
        <w:pageBreakBefore w:val="0"/>
        <w:widowControl w:val="0"/>
        <w:numPr>
          <w:ilvl w:val="0"/>
          <w:numId w:val="0"/>
        </w:numPr>
        <w:pBdr>
          <w:top w:val="single" w:color="auto" w:sz="4" w:space="0"/>
          <w:bottom w:val="single" w:color="auto" w:sz="4" w:space="0"/>
        </w:pBdr>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28"/>
          <w:szCs w:val="28"/>
          <w:highlight w:val="none"/>
          <w:lang w:val="en-US" w:eastAsia="zh-CN"/>
        </w:rPr>
      </w:pPr>
      <w:r>
        <w:rPr>
          <w:rFonts w:hint="default" w:ascii="Times New Roman" w:hAnsi="Times New Roman" w:eastAsia="方正仿宋_GBK" w:cs="Times New Roman"/>
          <w:b w:val="0"/>
          <w:bCs/>
          <w:sz w:val="28"/>
          <w:szCs w:val="28"/>
          <w:lang w:val="en-US" w:eastAsia="zh-CN"/>
        </w:rPr>
        <w:t xml:space="preserve">重庆市开州区城市公园管理中心办公室       </w:t>
      </w:r>
      <w:r>
        <w:rPr>
          <w:rFonts w:hint="default" w:ascii="Times New Roman" w:hAnsi="Times New Roman" w:eastAsia="宋体" w:cs="Times New Roman"/>
          <w:color w:val="auto"/>
          <w:kern w:val="0"/>
          <w:sz w:val="32"/>
          <w:szCs w:val="32"/>
          <w:lang w:val="en-US" w:eastAsia="zh-CN" w:bidi="ar"/>
        </w:rPr>
        <w:t xml:space="preserve"> </w:t>
      </w:r>
      <w:r>
        <w:rPr>
          <w:rFonts w:hint="default" w:ascii="Times New Roman" w:hAnsi="Times New Roman"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28"/>
          <w:szCs w:val="28"/>
          <w:highlight w:val="none"/>
          <w:lang w:val="en-US" w:eastAsia="zh-CN"/>
        </w:rPr>
        <w:t>202</w:t>
      </w:r>
      <w:r>
        <w:rPr>
          <w:rFonts w:hint="eastAsia" w:eastAsia="方正仿宋_GBK" w:cs="Times New Roman"/>
          <w:b w:val="0"/>
          <w:bCs/>
          <w:sz w:val="28"/>
          <w:szCs w:val="28"/>
          <w:highlight w:val="none"/>
          <w:lang w:val="en-US" w:eastAsia="zh-CN"/>
        </w:rPr>
        <w:t>4</w:t>
      </w:r>
      <w:r>
        <w:rPr>
          <w:rFonts w:hint="default" w:ascii="Times New Roman" w:hAnsi="Times New Roman" w:eastAsia="方正仿宋_GBK" w:cs="Times New Roman"/>
          <w:b w:val="0"/>
          <w:bCs/>
          <w:sz w:val="28"/>
          <w:szCs w:val="28"/>
          <w:highlight w:val="none"/>
          <w:lang w:val="en-US" w:eastAsia="zh-CN"/>
        </w:rPr>
        <w:t>年</w:t>
      </w:r>
      <w:r>
        <w:rPr>
          <w:rFonts w:hint="eastAsia" w:eastAsia="方正仿宋_GBK" w:cs="Times New Roman"/>
          <w:b w:val="0"/>
          <w:bCs/>
          <w:sz w:val="28"/>
          <w:szCs w:val="28"/>
          <w:highlight w:val="none"/>
          <w:lang w:val="en-US" w:eastAsia="zh-CN"/>
        </w:rPr>
        <w:t>3</w:t>
      </w:r>
      <w:r>
        <w:rPr>
          <w:rFonts w:hint="default" w:ascii="Times New Roman" w:hAnsi="Times New Roman" w:eastAsia="方正仿宋_GBK" w:cs="Times New Roman"/>
          <w:b w:val="0"/>
          <w:bCs/>
          <w:sz w:val="28"/>
          <w:szCs w:val="28"/>
          <w:highlight w:val="none"/>
          <w:lang w:val="en-US" w:eastAsia="zh-CN"/>
        </w:rPr>
        <w:t>月</w:t>
      </w:r>
      <w:r>
        <w:rPr>
          <w:rFonts w:hint="eastAsia" w:eastAsia="方正仿宋_GBK" w:cs="Times New Roman"/>
          <w:b w:val="0"/>
          <w:bCs/>
          <w:sz w:val="28"/>
          <w:szCs w:val="28"/>
          <w:highlight w:val="none"/>
          <w:lang w:val="en-US" w:eastAsia="zh-CN"/>
        </w:rPr>
        <w:t>21</w:t>
      </w:r>
      <w:r>
        <w:rPr>
          <w:rFonts w:hint="default" w:ascii="Times New Roman" w:hAnsi="Times New Roman" w:eastAsia="方正仿宋_GBK" w:cs="Times New Roman"/>
          <w:b w:val="0"/>
          <w:bCs/>
          <w:sz w:val="28"/>
          <w:szCs w:val="28"/>
          <w:highlight w:val="none"/>
          <w:lang w:val="en-US" w:eastAsia="zh-CN"/>
        </w:rPr>
        <w:t>日印发</w:t>
      </w:r>
    </w:p>
    <w:sectPr>
      <w:footerReference r:id="rId3" w:type="default"/>
      <w:footerReference r:id="rId4" w:type="even"/>
      <w:type w:val="oddPage"/>
      <w:pgSz w:w="11906" w:h="16838"/>
      <w:pgMar w:top="2098" w:right="1587" w:bottom="1984"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NzBkYmM4NjdlZjcyOGE4OGZiNjE0OGZlMWY3MGYifQ=="/>
  </w:docVars>
  <w:rsids>
    <w:rsidRoot w:val="76DC39A3"/>
    <w:rsid w:val="01B57B4D"/>
    <w:rsid w:val="029A12D4"/>
    <w:rsid w:val="03CD7ADE"/>
    <w:rsid w:val="047164DE"/>
    <w:rsid w:val="06223947"/>
    <w:rsid w:val="078B25A3"/>
    <w:rsid w:val="087024E1"/>
    <w:rsid w:val="08AC1732"/>
    <w:rsid w:val="08F7638C"/>
    <w:rsid w:val="0BEE26F4"/>
    <w:rsid w:val="0CA37E0B"/>
    <w:rsid w:val="0DDE4231"/>
    <w:rsid w:val="11433DFA"/>
    <w:rsid w:val="114A2B1E"/>
    <w:rsid w:val="128B2501"/>
    <w:rsid w:val="130222DF"/>
    <w:rsid w:val="18CD24D7"/>
    <w:rsid w:val="195E07CF"/>
    <w:rsid w:val="1D4204DE"/>
    <w:rsid w:val="1F3A4035"/>
    <w:rsid w:val="20BC75B4"/>
    <w:rsid w:val="21491539"/>
    <w:rsid w:val="21FF1FE4"/>
    <w:rsid w:val="232E5C5F"/>
    <w:rsid w:val="23BA703A"/>
    <w:rsid w:val="27286794"/>
    <w:rsid w:val="294D4486"/>
    <w:rsid w:val="29EA4673"/>
    <w:rsid w:val="2B605EE2"/>
    <w:rsid w:val="2BBF2CED"/>
    <w:rsid w:val="2E922324"/>
    <w:rsid w:val="30C456A0"/>
    <w:rsid w:val="31BF36CD"/>
    <w:rsid w:val="32FF0E0B"/>
    <w:rsid w:val="343D6EF5"/>
    <w:rsid w:val="3A242E4B"/>
    <w:rsid w:val="3B996C03"/>
    <w:rsid w:val="3BE73545"/>
    <w:rsid w:val="3CD85C21"/>
    <w:rsid w:val="3EE83498"/>
    <w:rsid w:val="3F7171A7"/>
    <w:rsid w:val="3FE41DDE"/>
    <w:rsid w:val="423D1A16"/>
    <w:rsid w:val="428A4DC8"/>
    <w:rsid w:val="429C09DF"/>
    <w:rsid w:val="4740402F"/>
    <w:rsid w:val="485E21C5"/>
    <w:rsid w:val="4BD5008A"/>
    <w:rsid w:val="4D1F167F"/>
    <w:rsid w:val="4D8A5386"/>
    <w:rsid w:val="4DC74E07"/>
    <w:rsid w:val="4E23141A"/>
    <w:rsid w:val="4E7B1846"/>
    <w:rsid w:val="52EB2ACA"/>
    <w:rsid w:val="52F67739"/>
    <w:rsid w:val="54E27615"/>
    <w:rsid w:val="559F4616"/>
    <w:rsid w:val="55AB4582"/>
    <w:rsid w:val="55B84D84"/>
    <w:rsid w:val="5C1D4BFA"/>
    <w:rsid w:val="5CB1412F"/>
    <w:rsid w:val="5D0B568A"/>
    <w:rsid w:val="5DA06B9F"/>
    <w:rsid w:val="5F5B05C8"/>
    <w:rsid w:val="5F6A2DC0"/>
    <w:rsid w:val="60DB52AF"/>
    <w:rsid w:val="611F7DE8"/>
    <w:rsid w:val="617A1A94"/>
    <w:rsid w:val="620B5B98"/>
    <w:rsid w:val="62361E5F"/>
    <w:rsid w:val="623B265B"/>
    <w:rsid w:val="6453511D"/>
    <w:rsid w:val="64647400"/>
    <w:rsid w:val="694427FC"/>
    <w:rsid w:val="69E10213"/>
    <w:rsid w:val="6FDF31C2"/>
    <w:rsid w:val="742C6ABF"/>
    <w:rsid w:val="74C6010C"/>
    <w:rsid w:val="75A81EF5"/>
    <w:rsid w:val="762F7903"/>
    <w:rsid w:val="76315758"/>
    <w:rsid w:val="763957E7"/>
    <w:rsid w:val="76DC39A3"/>
    <w:rsid w:val="77EC4836"/>
    <w:rsid w:val="78461CB8"/>
    <w:rsid w:val="7879358D"/>
    <w:rsid w:val="78BB62D2"/>
    <w:rsid w:val="793757CD"/>
    <w:rsid w:val="7A6B4071"/>
    <w:rsid w:val="7A9148B2"/>
    <w:rsid w:val="7FDD1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style>
  <w:style w:type="paragraph" w:styleId="4">
    <w:name w:val="Body Text Indent"/>
    <w:basedOn w:val="1"/>
    <w:qFormat/>
    <w:uiPriority w:val="0"/>
    <w:pPr>
      <w:ind w:firstLine="640" w:firstLineChars="200"/>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样式1"/>
    <w:basedOn w:val="1"/>
    <w:qFormat/>
    <w:uiPriority w:val="0"/>
    <w:pPr>
      <w:ind w:firstLine="200" w:firstLineChars="200"/>
    </w:pPr>
    <w:rPr>
      <w:rFonts w:eastAsia="仿宋_GB2312"/>
      <w:sz w:val="32"/>
    </w:rPr>
  </w:style>
  <w:style w:type="paragraph" w:customStyle="1" w:styleId="11">
    <w:name w:val="_Style 2"/>
    <w:basedOn w:val="1"/>
    <w:qFormat/>
    <w:uiPriority w:val="34"/>
    <w:pPr>
      <w:ind w:firstLine="420" w:firstLineChars="200"/>
    </w:pPr>
  </w:style>
  <w:style w:type="paragraph" w:customStyle="1" w:styleId="1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p0"/>
    <w:basedOn w:val="1"/>
    <w:qFormat/>
    <w:uiPriority w:val="0"/>
    <w:pPr>
      <w:widowControl/>
    </w:pPr>
    <w:rPr>
      <w:kern w:val="0"/>
      <w:szCs w:val="21"/>
    </w:rPr>
  </w:style>
  <w:style w:type="character" w:customStyle="1" w:styleId="14">
    <w:name w:val="font21"/>
    <w:basedOn w:val="8"/>
    <w:qFormat/>
    <w:uiPriority w:val="0"/>
    <w:rPr>
      <w:rFonts w:hint="eastAsia" w:ascii="宋体" w:hAnsi="宋体" w:eastAsia="宋体" w:cs="宋体"/>
      <w:color w:val="000000"/>
      <w:sz w:val="24"/>
      <w:szCs w:val="24"/>
      <w:u w:val="none"/>
    </w:rPr>
  </w:style>
  <w:style w:type="character" w:customStyle="1" w:styleId="15">
    <w:name w:val="font01"/>
    <w:basedOn w:val="8"/>
    <w:qFormat/>
    <w:uiPriority w:val="0"/>
    <w:rPr>
      <w:rFonts w:hint="default" w:ascii="Times New Roman" w:hAnsi="Times New Roman" w:cs="Times New Roman"/>
      <w:color w:val="000000"/>
      <w:sz w:val="24"/>
      <w:szCs w:val="24"/>
      <w:u w:val="none"/>
      <w:vertAlign w:val="superscript"/>
    </w:rPr>
  </w:style>
  <w:style w:type="paragraph" w:customStyle="1"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347</Words>
  <Characters>382</Characters>
  <Lines>0</Lines>
  <Paragraphs>0</Paragraphs>
  <TotalTime>0</TotalTime>
  <ScaleCrop>false</ScaleCrop>
  <LinksUpToDate>false</LinksUpToDate>
  <CharactersWithSpaces>457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2021-09-27T07:51:00Z</dcterms:created>
  <dc:creator>浅浅浅之蓝</dc:creator>
  <cp:lastModifiedBy>张雷</cp:lastModifiedBy>
  <cp:lastPrinted>2024-01-12T04:06:00Z</cp:lastPrinted>
  <dcterms:modified xsi:type="dcterms:W3CDTF">2024-03-29T06:42:44Z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8974419C7E504229A1363B0952845EDB</vt:lpwstr>
  </property>
</Properties>
</file>