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both"/>
        <w:rPr>
          <w:b/>
          <w:sz w:val="44"/>
          <w:szCs w:val="44"/>
        </w:rPr>
      </w:pPr>
    </w:p>
    <w:p>
      <w:pPr>
        <w:jc w:val="center"/>
        <w:rPr>
          <w:rFonts w:ascii="方正小标宋_GBK" w:eastAsia="方正小标宋_GBK"/>
          <w:color w:val="FF0000"/>
          <w:w w:val="30"/>
          <w:sz w:val="200"/>
          <w:szCs w:val="260"/>
        </w:rPr>
      </w:pPr>
      <w:r>
        <w:rPr>
          <w:rFonts w:hint="eastAsia" w:ascii="方正小标宋_GBK" w:eastAsia="方正小标宋_GBK"/>
          <w:color w:val="FF0000"/>
          <w:w w:val="30"/>
          <w:sz w:val="200"/>
          <w:szCs w:val="260"/>
        </w:rPr>
        <w:t>重庆市开州区文物管理所文件</w:t>
      </w:r>
    </w:p>
    <w:p>
      <w:pPr>
        <w:pBdr>
          <w:bottom w:val="single" w:color="FF0000" w:sz="12" w:space="1"/>
        </w:pBdr>
        <w:ind w:left="153" w:leftChars="73" w:firstLine="160" w:firstLineChars="50"/>
        <w:rPr>
          <w:rFonts w:ascii="方正大标宋简体" w:eastAsia="方正大标宋简体"/>
          <w:color w:val="FF0000"/>
          <w:w w:val="33"/>
          <w:sz w:val="44"/>
          <w:szCs w:val="44"/>
        </w:rPr>
      </w:pPr>
      <w:r>
        <w:rPr>
          <w:rFonts w:hint="eastAsia" w:ascii="仿宋_GB2312" w:eastAsia="仿宋_GB2312"/>
          <w:sz w:val="32"/>
          <w:szCs w:val="32"/>
        </w:rPr>
        <w:t>开州文物〔</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签发人：王永威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p>
    <w:p>
      <w:pPr>
        <w:pStyle w:val="4"/>
        <w:spacing w:line="560" w:lineRule="exact"/>
        <w:ind w:firstLine="0" w:firstLineChars="0"/>
        <w:jc w:val="center"/>
        <w:rPr>
          <w:rFonts w:hint="default" w:ascii="Times New Roman" w:eastAsia="方正小标宋_GBK"/>
          <w:szCs w:val="32"/>
          <w:lang w:val="en-US"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val="en-US" w:eastAsia="zh-CN"/>
        </w:rPr>
        <w:t>文物管理所</w:t>
      </w:r>
    </w:p>
    <w:p>
      <w:pPr>
        <w:spacing w:line="560" w:lineRule="exact"/>
        <w:jc w:val="center"/>
        <w:rPr>
          <w:rFonts w:eastAsia="方正小标宋_GBK"/>
          <w:sz w:val="44"/>
          <w:szCs w:val="44"/>
        </w:rPr>
      </w:pPr>
      <w:r>
        <w:rPr>
          <w:rFonts w:eastAsia="方正小标宋_GBK"/>
          <w:sz w:val="44"/>
          <w:szCs w:val="44"/>
        </w:rPr>
        <w:t>关于2024年部门预算情况公开的公告</w:t>
      </w:r>
    </w:p>
    <w:p>
      <w:pPr>
        <w:spacing w:line="560" w:lineRule="exact"/>
        <w:jc w:val="center"/>
        <w:rPr>
          <w:rFonts w:eastAsia="方正小标宋_GBK"/>
          <w:sz w:val="44"/>
          <w:szCs w:val="44"/>
        </w:rPr>
      </w:pPr>
    </w:p>
    <w:p>
      <w:pPr>
        <w:spacing w:line="560" w:lineRule="exact"/>
        <w:ind w:firstLine="640" w:firstLineChars="200"/>
        <w:rPr>
          <w:rFonts w:eastAsia="方正仿宋_GBK"/>
          <w:sz w:val="32"/>
          <w:szCs w:val="32"/>
        </w:rPr>
      </w:pPr>
      <w:r>
        <w:rPr>
          <w:rFonts w:eastAsia="方正仿宋_GBK"/>
          <w:sz w:val="32"/>
          <w:szCs w:val="32"/>
        </w:rPr>
        <w:t>按照有关财政预算公开的部署和要求</w:t>
      </w:r>
      <w:r>
        <w:rPr>
          <w:rFonts w:hint="eastAsia" w:eastAsia="方正仿宋_GBK"/>
          <w:sz w:val="32"/>
          <w:szCs w:val="32"/>
          <w:lang w:eastAsia="zh-CN"/>
        </w:rPr>
        <w:t>，</w:t>
      </w:r>
      <w:r>
        <w:rPr>
          <w:rFonts w:eastAsia="方正仿宋_GBK"/>
          <w:sz w:val="32"/>
          <w:szCs w:val="32"/>
        </w:rPr>
        <w:t>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w:t>
      </w:r>
      <w:r>
        <w:rPr>
          <w:rFonts w:hint="eastAsia" w:eastAsia="方正仿宋_GBK"/>
          <w:sz w:val="32"/>
          <w:szCs w:val="32"/>
          <w:lang w:val="en-US" w:eastAsia="zh-CN"/>
        </w:rPr>
        <w:t>州</w:t>
      </w:r>
      <w:r>
        <w:rPr>
          <w:rFonts w:hint="eastAsia" w:eastAsia="方正仿宋_GBK"/>
          <w:sz w:val="32"/>
          <w:szCs w:val="32"/>
        </w:rPr>
        <w:t>财</w:t>
      </w:r>
      <w:r>
        <w:rPr>
          <w:rFonts w:hint="eastAsia" w:eastAsia="方正仿宋_GBK"/>
          <w:sz w:val="32"/>
          <w:szCs w:val="32"/>
          <w:lang w:val="en-US" w:eastAsia="zh-CN"/>
        </w:rPr>
        <w:t>教发</w:t>
      </w:r>
      <w:r>
        <w:rPr>
          <w:rFonts w:eastAsia="方正仿宋_GBK"/>
          <w:sz w:val="32"/>
          <w:szCs w:val="32"/>
        </w:rPr>
        <w:t>〔2024〕</w:t>
      </w:r>
      <w:r>
        <w:rPr>
          <w:rFonts w:hint="eastAsia" w:eastAsia="方正仿宋_GBK"/>
          <w:sz w:val="32"/>
          <w:szCs w:val="32"/>
          <w:lang w:val="en-US" w:eastAsia="zh-CN"/>
        </w:rPr>
        <w:t>8</w:t>
      </w:r>
      <w:r>
        <w:rPr>
          <w:rFonts w:eastAsia="方正仿宋_GBK"/>
          <w:sz w:val="32"/>
          <w:szCs w:val="32"/>
        </w:rPr>
        <w:t>号）</w:t>
      </w:r>
      <w:r>
        <w:rPr>
          <w:rFonts w:hint="eastAsia" w:eastAsia="方正仿宋_GBK"/>
          <w:sz w:val="32"/>
          <w:szCs w:val="32"/>
          <w:lang w:eastAsia="zh-CN"/>
        </w:rPr>
        <w:t>，</w:t>
      </w:r>
      <w:r>
        <w:rPr>
          <w:rFonts w:eastAsia="方正仿宋_GBK"/>
          <w:sz w:val="32"/>
          <w:szCs w:val="32"/>
        </w:rPr>
        <w:t>现将</w:t>
      </w:r>
      <w:r>
        <w:rPr>
          <w:rFonts w:hint="eastAsia" w:eastAsia="方正仿宋_GBK"/>
          <w:sz w:val="32"/>
          <w:szCs w:val="32"/>
          <w:lang w:val="en-US" w:eastAsia="zh-CN"/>
        </w:rPr>
        <w:t>重庆市开州区文物管理所</w:t>
      </w:r>
      <w:r>
        <w:rPr>
          <w:rFonts w:eastAsia="方正仿宋_GBK"/>
          <w:sz w:val="32"/>
          <w:szCs w:val="32"/>
        </w:rPr>
        <w:t>2024年部门预算批复情况公开如下：</w:t>
      </w:r>
    </w:p>
    <w:p>
      <w:pPr>
        <w:spacing w:line="560" w:lineRule="exact"/>
        <w:jc w:val="center"/>
        <w:rPr>
          <w:rFonts w:eastAsia="方正黑体_GBK"/>
          <w:sz w:val="32"/>
          <w:szCs w:val="32"/>
        </w:rPr>
      </w:pPr>
    </w:p>
    <w:p>
      <w:pPr>
        <w:ind w:right="640"/>
        <w:jc w:val="both"/>
        <w:rPr>
          <w:rFonts w:ascii="方正仿宋_GBK" w:eastAsia="方正仿宋_GBK"/>
          <w:sz w:val="32"/>
          <w:szCs w:val="32"/>
        </w:rPr>
      </w:pPr>
    </w:p>
    <w:p>
      <w:pPr>
        <w:ind w:right="640" w:firstLine="640" w:firstLineChars="200"/>
        <w:jc w:val="center"/>
        <w:rPr>
          <w:rFonts w:ascii="方正仿宋_GBK" w:eastAsia="方正仿宋_GBK"/>
          <w:sz w:val="32"/>
          <w:szCs w:val="32"/>
        </w:rPr>
      </w:pPr>
    </w:p>
    <w:p>
      <w:pPr>
        <w:ind w:right="640" w:firstLine="640" w:firstLineChars="200"/>
        <w:jc w:val="center"/>
        <w:rPr>
          <w:rFonts w:ascii="方正仿宋_GBK" w:eastAsia="方正仿宋_GBK"/>
          <w:sz w:val="32"/>
          <w:szCs w:val="32"/>
        </w:rPr>
      </w:pPr>
    </w:p>
    <w:p>
      <w:pPr>
        <w:ind w:right="640" w:firstLine="640" w:firstLineChars="200"/>
        <w:jc w:val="center"/>
        <w:rPr>
          <w:rFonts w:ascii="方正仿宋_GBK" w:eastAsia="方正仿宋_GBK"/>
          <w:sz w:val="32"/>
          <w:szCs w:val="32"/>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目    录</w:t>
      </w:r>
    </w:p>
    <w:p>
      <w:pPr>
        <w:spacing w:line="560" w:lineRule="exact"/>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第一部分：2024年部门预算情况说明</w:t>
      </w:r>
    </w:p>
    <w:p>
      <w:pPr>
        <w:spacing w:line="560" w:lineRule="exact"/>
      </w:pPr>
    </w:p>
    <w:p>
      <w:pPr>
        <w:spacing w:line="560" w:lineRule="exact"/>
        <w:rPr>
          <w:rFonts w:eastAsia="方正仿宋_GBK"/>
          <w:sz w:val="32"/>
          <w:szCs w:val="32"/>
        </w:rPr>
      </w:pPr>
      <w:r>
        <w:rPr>
          <w:rFonts w:eastAsia="方正仿宋_GBK"/>
          <w:sz w:val="32"/>
          <w:szCs w:val="32"/>
        </w:rPr>
        <w:t>一、单位基本情况</w:t>
      </w:r>
    </w:p>
    <w:p>
      <w:pPr>
        <w:spacing w:line="560" w:lineRule="exact"/>
        <w:rPr>
          <w:rFonts w:eastAsia="方正仿宋_GBK"/>
          <w:sz w:val="32"/>
          <w:szCs w:val="32"/>
        </w:rPr>
      </w:pPr>
      <w:r>
        <w:rPr>
          <w:rFonts w:eastAsia="方正仿宋_GBK"/>
          <w:sz w:val="32"/>
          <w:szCs w:val="32"/>
        </w:rPr>
        <w:t>二、部门收支总体情况</w:t>
      </w:r>
    </w:p>
    <w:p>
      <w:pPr>
        <w:spacing w:line="560" w:lineRule="exact"/>
        <w:rPr>
          <w:rFonts w:eastAsia="方正仿宋_GBK"/>
          <w:sz w:val="32"/>
          <w:szCs w:val="32"/>
        </w:rPr>
      </w:pPr>
      <w:r>
        <w:rPr>
          <w:rFonts w:eastAsia="方正仿宋_GBK"/>
          <w:sz w:val="32"/>
          <w:szCs w:val="32"/>
        </w:rPr>
        <w:t>三、部门预算情况说明</w:t>
      </w:r>
    </w:p>
    <w:p>
      <w:pPr>
        <w:spacing w:line="56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560" w:lineRule="exact"/>
        <w:rPr>
          <w:rFonts w:eastAsia="方正仿宋_GBK"/>
          <w:sz w:val="32"/>
          <w:szCs w:val="32"/>
        </w:rPr>
      </w:pPr>
      <w:r>
        <w:rPr>
          <w:rFonts w:eastAsia="方正仿宋_GBK"/>
          <w:sz w:val="32"/>
          <w:szCs w:val="32"/>
        </w:rPr>
        <w:t>五、其他重要事项的情况说明</w:t>
      </w:r>
    </w:p>
    <w:p>
      <w:pPr>
        <w:spacing w:line="560" w:lineRule="exact"/>
        <w:rPr>
          <w:rFonts w:eastAsia="方正仿宋_GBK"/>
          <w:sz w:val="32"/>
          <w:szCs w:val="32"/>
        </w:rPr>
      </w:pPr>
      <w:r>
        <w:rPr>
          <w:rFonts w:eastAsia="方正仿宋_GBK"/>
          <w:sz w:val="32"/>
          <w:szCs w:val="32"/>
        </w:rPr>
        <w:t>六、专业性名词解释</w:t>
      </w:r>
    </w:p>
    <w:p>
      <w:pPr>
        <w:spacing w:line="560" w:lineRule="exact"/>
        <w:rPr>
          <w:rFonts w:eastAsia="方正仿宋_GBK"/>
          <w:sz w:val="32"/>
          <w:szCs w:val="32"/>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第二部分：2024年部门预算公开报表</w:t>
      </w:r>
    </w:p>
    <w:p>
      <w:pPr>
        <w:spacing w:line="560" w:lineRule="exact"/>
      </w:pPr>
    </w:p>
    <w:p>
      <w:pPr>
        <w:spacing w:line="560" w:lineRule="exact"/>
        <w:rPr>
          <w:rFonts w:eastAsia="方正仿宋_GBK"/>
          <w:sz w:val="32"/>
          <w:szCs w:val="32"/>
        </w:rPr>
      </w:pPr>
      <w:r>
        <w:rPr>
          <w:rFonts w:eastAsia="方正仿宋_GBK"/>
          <w:sz w:val="32"/>
          <w:szCs w:val="32"/>
        </w:rPr>
        <w:t>表1、</w:t>
      </w:r>
      <w:r>
        <w:rPr>
          <w:rFonts w:hint="eastAsia" w:eastAsia="方正仿宋_GBK"/>
          <w:sz w:val="32"/>
          <w:szCs w:val="32"/>
          <w:lang w:val="en-US" w:eastAsia="zh-CN"/>
        </w:rPr>
        <w:t>重庆市开州区文物管理所</w:t>
      </w:r>
      <w:r>
        <w:rPr>
          <w:rFonts w:hint="eastAsia" w:eastAsia="方正仿宋_GBK"/>
          <w:sz w:val="32"/>
          <w:szCs w:val="32"/>
        </w:rPr>
        <w:t>收支预算总表</w:t>
      </w:r>
    </w:p>
    <w:p>
      <w:pPr>
        <w:spacing w:line="560" w:lineRule="exact"/>
        <w:rPr>
          <w:rFonts w:eastAsia="方正仿宋_GBK"/>
          <w:sz w:val="32"/>
          <w:szCs w:val="32"/>
        </w:rPr>
      </w:pPr>
      <w:r>
        <w:rPr>
          <w:rFonts w:eastAsia="方正仿宋_GBK"/>
          <w:sz w:val="32"/>
          <w:szCs w:val="32"/>
        </w:rPr>
        <w:t>表2、</w:t>
      </w:r>
      <w:r>
        <w:rPr>
          <w:rFonts w:hint="eastAsia" w:eastAsia="方正仿宋_GBK"/>
          <w:sz w:val="32"/>
          <w:szCs w:val="32"/>
          <w:lang w:val="en-US" w:eastAsia="zh-CN"/>
        </w:rPr>
        <w:t>重庆市开州区文物管理所</w:t>
      </w:r>
      <w:r>
        <w:rPr>
          <w:rFonts w:eastAsia="方正仿宋_GBK"/>
          <w:sz w:val="32"/>
          <w:szCs w:val="32"/>
        </w:rPr>
        <w:t>收入总表</w:t>
      </w:r>
    </w:p>
    <w:p>
      <w:pPr>
        <w:spacing w:line="560" w:lineRule="exact"/>
        <w:rPr>
          <w:rFonts w:eastAsia="方正仿宋_GBK"/>
          <w:sz w:val="32"/>
          <w:szCs w:val="32"/>
        </w:rPr>
      </w:pPr>
      <w:r>
        <w:rPr>
          <w:rFonts w:eastAsia="方正仿宋_GBK"/>
          <w:sz w:val="32"/>
          <w:szCs w:val="32"/>
        </w:rPr>
        <w:t>表3、</w:t>
      </w:r>
      <w:r>
        <w:rPr>
          <w:rFonts w:hint="eastAsia" w:eastAsia="方正仿宋_GBK"/>
          <w:sz w:val="32"/>
          <w:szCs w:val="32"/>
          <w:lang w:val="en-US" w:eastAsia="zh-CN"/>
        </w:rPr>
        <w:t>重庆市开州区文物管理所</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表4、</w:t>
      </w:r>
      <w:r>
        <w:rPr>
          <w:rFonts w:hint="eastAsia" w:eastAsia="方正仿宋_GBK"/>
          <w:sz w:val="32"/>
          <w:szCs w:val="32"/>
          <w:lang w:val="en-US" w:eastAsia="zh-CN"/>
        </w:rPr>
        <w:t>重庆市开州区文物管理所</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表5、</w:t>
      </w:r>
      <w:r>
        <w:rPr>
          <w:rFonts w:hint="eastAsia" w:eastAsia="方正仿宋_GBK"/>
          <w:sz w:val="32"/>
          <w:szCs w:val="32"/>
          <w:lang w:val="en-US" w:eastAsia="zh-CN"/>
        </w:rPr>
        <w:t>重庆市开州区文物管理所</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表6、</w:t>
      </w:r>
      <w:r>
        <w:rPr>
          <w:rFonts w:hint="eastAsia" w:eastAsia="方正仿宋_GBK"/>
          <w:sz w:val="32"/>
          <w:szCs w:val="32"/>
          <w:lang w:val="en-US" w:eastAsia="zh-CN"/>
        </w:rPr>
        <w:t>重庆市开州区文物管理所</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表7、</w:t>
      </w:r>
      <w:r>
        <w:rPr>
          <w:rFonts w:hint="eastAsia" w:eastAsia="方正仿宋_GBK"/>
          <w:sz w:val="32"/>
          <w:szCs w:val="32"/>
          <w:lang w:val="en-US" w:eastAsia="zh-CN"/>
        </w:rPr>
        <w:t>重庆市开州区文物管理所</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表8、</w:t>
      </w:r>
      <w:r>
        <w:rPr>
          <w:rFonts w:hint="eastAsia" w:eastAsia="方正仿宋_GBK"/>
          <w:sz w:val="32"/>
          <w:szCs w:val="32"/>
          <w:lang w:val="en-US" w:eastAsia="zh-CN"/>
        </w:rPr>
        <w:t>重庆市开州区文物管理所</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表9、</w:t>
      </w:r>
      <w:r>
        <w:rPr>
          <w:rFonts w:hint="eastAsia" w:eastAsia="方正仿宋_GBK"/>
          <w:sz w:val="32"/>
          <w:szCs w:val="32"/>
          <w:lang w:val="en-US" w:eastAsia="zh-CN"/>
        </w:rPr>
        <w:t>重庆市开州区文物管理所</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表10、</w:t>
      </w:r>
      <w:r>
        <w:rPr>
          <w:rFonts w:hint="eastAsia" w:eastAsia="方正仿宋_GBK"/>
          <w:sz w:val="32"/>
          <w:szCs w:val="32"/>
          <w:lang w:val="en-US" w:eastAsia="zh-CN"/>
        </w:rPr>
        <w:t>重庆市开州区文物管理所</w:t>
      </w:r>
      <w:r>
        <w:rPr>
          <w:rFonts w:eastAsia="方正仿宋_GBK"/>
          <w:sz w:val="32"/>
          <w:szCs w:val="32"/>
        </w:rPr>
        <w:t>项目支出表</w:t>
      </w:r>
    </w:p>
    <w:p>
      <w:pPr>
        <w:spacing w:line="560" w:lineRule="exact"/>
        <w:rPr>
          <w:rFonts w:eastAsia="方正仿宋_GBK"/>
          <w:sz w:val="32"/>
          <w:szCs w:val="32"/>
        </w:rPr>
      </w:pPr>
      <w:r>
        <w:rPr>
          <w:rFonts w:eastAsia="方正仿宋_GBK"/>
          <w:sz w:val="32"/>
          <w:szCs w:val="32"/>
        </w:rPr>
        <w:t>表11、</w:t>
      </w:r>
      <w:r>
        <w:rPr>
          <w:rFonts w:hint="eastAsia" w:eastAsia="方正仿宋_GBK"/>
          <w:sz w:val="32"/>
          <w:szCs w:val="32"/>
        </w:rPr>
        <w:t>2024年</w:t>
      </w:r>
      <w:r>
        <w:rPr>
          <w:rFonts w:hint="eastAsia" w:eastAsia="方正仿宋_GBK"/>
          <w:sz w:val="32"/>
          <w:szCs w:val="32"/>
          <w:lang w:val="en-US" w:eastAsia="zh-CN"/>
        </w:rPr>
        <w:t>重庆市开州区文物管理所</w:t>
      </w:r>
      <w:r>
        <w:rPr>
          <w:rFonts w:eastAsia="方正仿宋_GBK"/>
          <w:sz w:val="32"/>
          <w:szCs w:val="32"/>
        </w:rPr>
        <w:t>项目绩效目标表</w:t>
      </w:r>
    </w:p>
    <w:p>
      <w:pPr>
        <w:spacing w:line="560"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第一部分：2024年部门预算情况说明</w:t>
      </w:r>
    </w:p>
    <w:p>
      <w:pPr>
        <w:spacing w:line="560" w:lineRule="exact"/>
        <w:ind w:firstLine="880" w:firstLineChars="200"/>
        <w:jc w:val="center"/>
        <w:rPr>
          <w:rFonts w:eastAsia="华文中宋"/>
          <w:sz w:val="44"/>
          <w:szCs w:val="44"/>
        </w:rPr>
      </w:pPr>
    </w:p>
    <w:p>
      <w:pPr>
        <w:spacing w:line="560" w:lineRule="exact"/>
        <w:ind w:left="640"/>
        <w:rPr>
          <w:rFonts w:eastAsia="方正黑体_GBK"/>
          <w:sz w:val="32"/>
        </w:rPr>
      </w:pPr>
      <w:r>
        <w:rPr>
          <w:rFonts w:eastAsia="方正黑体_GBK"/>
          <w:sz w:val="32"/>
        </w:rPr>
        <w:t>一、单位基本情况</w:t>
      </w:r>
    </w:p>
    <w:p>
      <w:pPr>
        <w:spacing w:line="560" w:lineRule="exact"/>
        <w:ind w:firstLine="640" w:firstLineChars="200"/>
        <w:rPr>
          <w:rFonts w:hint="eastAsia" w:ascii="方正楷体_GBK" w:eastAsia="方正楷体_GBK"/>
          <w:sz w:val="32"/>
        </w:rPr>
      </w:pPr>
      <w:r>
        <w:rPr>
          <w:rFonts w:hint="eastAsia" w:ascii="方正楷体_GBK" w:eastAsia="方正楷体_GBK"/>
          <w:sz w:val="32"/>
        </w:rPr>
        <w:t>（一）职能职责</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1.宣传贯彻落实国家、市有关文物、博物、非物质文化遗产相关法律、法规和规章制度。</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2</w:t>
      </w:r>
      <w:r>
        <w:rPr>
          <w:rFonts w:hint="eastAsia" w:ascii="方正仿宋_GBK" w:hAnsi="方正仿宋_GBK" w:eastAsia="方正仿宋_GBK" w:cs="方正仿宋_GBK"/>
          <w:sz w:val="32"/>
          <w:szCs w:val="32"/>
        </w:rPr>
        <w:t>.</w:t>
      </w:r>
      <w:r>
        <w:rPr>
          <w:rFonts w:hint="eastAsia" w:eastAsia="方正仿宋_GBK" w:cs="宋体"/>
          <w:kern w:val="0"/>
          <w:sz w:val="32"/>
          <w:szCs w:val="32"/>
        </w:rPr>
        <w:t>开展全区境内地域历</w:t>
      </w:r>
      <w:r>
        <w:rPr>
          <w:rFonts w:hint="eastAsia" w:ascii="Times New Roman" w:hAnsi="Times New Roman" w:eastAsia="方正仿宋_GBK" w:cs="Times New Roman"/>
          <w:sz w:val="32"/>
        </w:rPr>
        <w:t>史文化</w:t>
      </w:r>
      <w:r>
        <w:rPr>
          <w:rFonts w:hint="eastAsia" w:eastAsia="方正仿宋_GBK" w:cs="宋体"/>
          <w:kern w:val="0"/>
          <w:sz w:val="32"/>
          <w:szCs w:val="32"/>
        </w:rPr>
        <w:t>研究、文化线路研究、物质文化及非物质文化遗产保护研究、文化遗产与旅游融合发展研究。</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3</w:t>
      </w:r>
      <w:r>
        <w:rPr>
          <w:rFonts w:hint="eastAsia" w:ascii="方正仿宋_GBK" w:hAnsi="方正仿宋_GBK" w:eastAsia="方正仿宋_GBK" w:cs="方正仿宋_GBK"/>
          <w:sz w:val="32"/>
          <w:szCs w:val="32"/>
        </w:rPr>
        <w:t>.</w:t>
      </w:r>
      <w:r>
        <w:rPr>
          <w:rFonts w:hint="eastAsia" w:eastAsia="方正仿宋_GBK" w:cs="宋体"/>
          <w:kern w:val="0"/>
          <w:sz w:val="32"/>
          <w:szCs w:val="32"/>
        </w:rPr>
        <w:t>负责开展全区境内的物质文化遗产和非物质文化遗产普查工作，按照国家标准规范建立文化遗产档案、数据库。</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4</w:t>
      </w:r>
      <w:r>
        <w:rPr>
          <w:rFonts w:hint="eastAsia" w:ascii="方正仿宋_GBK" w:hAnsi="方正仿宋_GBK" w:eastAsia="方正仿宋_GBK" w:cs="方正仿宋_GBK"/>
          <w:sz w:val="32"/>
          <w:szCs w:val="32"/>
        </w:rPr>
        <w:t>.</w:t>
      </w:r>
      <w:r>
        <w:rPr>
          <w:rFonts w:hint="eastAsia" w:eastAsia="方正仿宋_GBK" w:cs="宋体"/>
          <w:kern w:val="0"/>
          <w:sz w:val="32"/>
          <w:szCs w:val="32"/>
        </w:rPr>
        <w:t>负责全区各级文物保护单位、历史文化遗址保护区、非物质文化保护名录及非遗代表性传承人的申报推荐工作。</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5</w:t>
      </w:r>
      <w:r>
        <w:rPr>
          <w:rFonts w:hint="eastAsia" w:ascii="方正仿宋_GBK" w:hAnsi="方正仿宋_GBK" w:eastAsia="方正仿宋_GBK" w:cs="方正仿宋_GBK"/>
          <w:sz w:val="32"/>
          <w:szCs w:val="32"/>
        </w:rPr>
        <w:t>.</w:t>
      </w:r>
      <w:r>
        <w:rPr>
          <w:rFonts w:hint="eastAsia" w:eastAsia="方正仿宋_GBK" w:cs="宋体"/>
          <w:kern w:val="0"/>
          <w:sz w:val="32"/>
          <w:szCs w:val="32"/>
        </w:rPr>
        <w:t>负责区域内地下文物抢救性保护，对区境内涉及的各级文物保护单位、文物点、历史文化遗址、地下文物重点保护区，以及其他可能埋藏文物地区的建设项目进行依法调查、抢救性发掘和日常安全巡查。</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6</w:t>
      </w:r>
      <w:r>
        <w:rPr>
          <w:rFonts w:hint="eastAsia" w:ascii="方正仿宋_GBK" w:hAnsi="方正仿宋_GBK" w:eastAsia="方正仿宋_GBK" w:cs="方正仿宋_GBK"/>
          <w:sz w:val="32"/>
          <w:szCs w:val="32"/>
        </w:rPr>
        <w:t>.</w:t>
      </w:r>
      <w:r>
        <w:rPr>
          <w:rFonts w:hint="eastAsia" w:eastAsia="方正仿宋_GBK" w:cs="宋体"/>
          <w:kern w:val="0"/>
          <w:sz w:val="32"/>
          <w:szCs w:val="32"/>
        </w:rPr>
        <w:t>负责可移动文物的收藏（含有偿征集、无偿捐赠）、保护、管理、修复、研究、利用、展示、宣传。设置藏品档案，建立馆藏文物数据库。</w:t>
      </w:r>
    </w:p>
    <w:p>
      <w:pPr>
        <w:spacing w:line="600" w:lineRule="exact"/>
        <w:ind w:firstLine="640" w:firstLineChars="200"/>
        <w:rPr>
          <w:rFonts w:hint="eastAsia" w:eastAsia="方正仿宋_GBK" w:cs="宋体"/>
          <w:kern w:val="0"/>
          <w:sz w:val="32"/>
          <w:szCs w:val="32"/>
        </w:rPr>
      </w:pPr>
      <w:r>
        <w:rPr>
          <w:rFonts w:hint="eastAsia" w:eastAsia="方正仿宋_GBK" w:cs="宋体"/>
          <w:kern w:val="0"/>
          <w:sz w:val="32"/>
          <w:szCs w:val="32"/>
        </w:rPr>
        <w:t>7</w:t>
      </w:r>
      <w:r>
        <w:rPr>
          <w:rFonts w:hint="eastAsia" w:ascii="方正仿宋_GBK" w:hAnsi="方正仿宋_GBK" w:eastAsia="方正仿宋_GBK" w:cs="方正仿宋_GBK"/>
          <w:sz w:val="32"/>
          <w:szCs w:val="32"/>
        </w:rPr>
        <w:t>.</w:t>
      </w:r>
      <w:r>
        <w:rPr>
          <w:rFonts w:hint="eastAsia" w:eastAsia="方正仿宋_GBK" w:cs="宋体"/>
          <w:kern w:val="0"/>
          <w:sz w:val="32"/>
          <w:szCs w:val="32"/>
        </w:rPr>
        <w:t>负责博物馆公共文化服务。举办文化、文物展览，藏品展示，运用多种形式开展社会教育。开发文化、文物创意产品。加强馆际交流合作。</w:t>
      </w:r>
    </w:p>
    <w:p>
      <w:pPr>
        <w:spacing w:line="560" w:lineRule="exact"/>
        <w:ind w:firstLine="640" w:firstLineChars="200"/>
        <w:rPr>
          <w:rFonts w:eastAsia="方正仿宋_GBK"/>
          <w:sz w:val="32"/>
        </w:rPr>
      </w:pPr>
      <w:r>
        <w:rPr>
          <w:rFonts w:hint="eastAsia" w:eastAsia="方正仿宋_GBK" w:cs="宋体"/>
          <w:kern w:val="0"/>
          <w:sz w:val="32"/>
          <w:szCs w:val="32"/>
        </w:rPr>
        <w:t>8</w:t>
      </w:r>
      <w:r>
        <w:rPr>
          <w:rFonts w:hint="eastAsia" w:ascii="方正仿宋_GBK" w:hAnsi="方正仿宋_GBK" w:eastAsia="方正仿宋_GBK" w:cs="方正仿宋_GBK"/>
          <w:sz w:val="32"/>
          <w:szCs w:val="32"/>
        </w:rPr>
        <w:t>.</w:t>
      </w:r>
      <w:r>
        <w:rPr>
          <w:rFonts w:hint="eastAsia" w:eastAsia="方正仿宋_GBK" w:cs="宋体"/>
          <w:kern w:val="0"/>
          <w:sz w:val="32"/>
          <w:szCs w:val="32"/>
        </w:rPr>
        <w:t>依法依规对文物进行认定与鉴定，对涉案文物提供业务技术支持，配合相关部门打击文物违法犯罪行为。</w:t>
      </w:r>
    </w:p>
    <w:p>
      <w:pPr>
        <w:pStyle w:val="17"/>
        <w:tabs>
          <w:tab w:val="center" w:pos="4153"/>
          <w:tab w:val="left" w:pos="7275"/>
        </w:tabs>
        <w:spacing w:line="560" w:lineRule="exact"/>
        <w:ind w:left="640" w:firstLine="0" w:firstLineChars="0"/>
        <w:jc w:val="left"/>
        <w:rPr>
          <w:rFonts w:hint="eastAsia" w:ascii="方正楷体_GBK" w:hAnsi="Times New Roman" w:eastAsia="方正楷体_GBK"/>
          <w:sz w:val="32"/>
        </w:rPr>
      </w:pPr>
      <w:r>
        <w:rPr>
          <w:rFonts w:hint="eastAsia" w:ascii="方正楷体_GBK" w:hAnsi="Times New Roman" w:eastAsia="方正楷体_GBK"/>
          <w:sz w:val="32"/>
        </w:rPr>
        <w:t>（二）单位构成</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方正仿宋_GBK"/>
          <w:sz w:val="32"/>
          <w:lang w:val="zh-CN"/>
        </w:rPr>
      </w:pPr>
      <w:r>
        <w:rPr>
          <w:rFonts w:hint="eastAsia" w:ascii="Times New Roman" w:hAnsi="Times New Roman" w:eastAsia="方正仿宋_GBK"/>
          <w:sz w:val="32"/>
          <w:lang w:val="zh-CN"/>
        </w:rPr>
        <w:t>重庆市开州区文物管理所（重庆市开州区非物质文化遗产保护中心、开州博物馆）三块牌子一套班子的全额事业单位。从预算单位构成看，本单位属于二级预算单位，主管部门为重庆市开州区文化和旅游发展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Times New Roman" w:hAnsi="Times New Roman" w:eastAsia="方正仿宋_GBK"/>
          <w:sz w:val="32"/>
        </w:rPr>
      </w:pPr>
      <w:r>
        <w:rPr>
          <w:rFonts w:hint="eastAsia" w:ascii="Times New Roman" w:hAnsi="Times New Roman" w:eastAsia="方正仿宋_GBK"/>
          <w:sz w:val="32"/>
          <w:lang w:val="zh-CN"/>
        </w:rPr>
        <w:t>区文物管理所内设六个部室：综合办公室、</w:t>
      </w:r>
      <w:r>
        <w:rPr>
          <w:rFonts w:hint="eastAsia" w:ascii="Times New Roman" w:hAnsi="Times New Roman" w:eastAsia="方正仿宋_GBK"/>
          <w:sz w:val="32"/>
        </w:rPr>
        <w:t>文物保护研究部、</w:t>
      </w:r>
      <w:r>
        <w:rPr>
          <w:rFonts w:hint="eastAsia" w:ascii="Times New Roman" w:hAnsi="Times New Roman" w:eastAsia="方正仿宋_GBK"/>
          <w:sz w:val="32"/>
          <w:lang w:val="zh-CN"/>
        </w:rPr>
        <w:t>智能科技与安全保卫部、非物质文化遗产保护部、展览教育部、</w:t>
      </w:r>
      <w:r>
        <w:rPr>
          <w:rFonts w:hint="eastAsia" w:ascii="Times New Roman" w:hAnsi="Times New Roman" w:eastAsia="方正仿宋_GBK"/>
          <w:sz w:val="32"/>
        </w:rPr>
        <w:t>人事财务部</w:t>
      </w:r>
      <w:r>
        <w:rPr>
          <w:rFonts w:hint="eastAsia" w:ascii="Times New Roman" w:hAnsi="Times New Roman" w:eastAsia="方正仿宋_GBK"/>
          <w:sz w:val="32"/>
          <w:lang w:val="zh-CN"/>
        </w:rPr>
        <w:t>。</w:t>
      </w:r>
    </w:p>
    <w:p>
      <w:pPr>
        <w:spacing w:line="560" w:lineRule="exact"/>
        <w:ind w:left="640"/>
        <w:rPr>
          <w:rFonts w:eastAsia="方正仿宋_GBK"/>
          <w:sz w:val="32"/>
        </w:rPr>
      </w:pPr>
      <w:r>
        <w:rPr>
          <w:rFonts w:eastAsia="方正黑体_GBK"/>
          <w:sz w:val="32"/>
        </w:rPr>
        <w:t>二、部门收支总体情况</w:t>
      </w:r>
    </w:p>
    <w:p>
      <w:pPr>
        <w:spacing w:line="56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lang w:val="en-US" w:eastAsia="zh-CN"/>
        </w:rPr>
        <w:t>626.24</w:t>
      </w:r>
      <w:r>
        <w:rPr>
          <w:rFonts w:eastAsia="方正仿宋_GBK"/>
          <w:sz w:val="32"/>
        </w:rPr>
        <w:t>万元，其中：一般公共预算拨款</w:t>
      </w:r>
      <w:r>
        <w:rPr>
          <w:rFonts w:hint="eastAsia" w:eastAsia="方正仿宋_GBK"/>
          <w:sz w:val="32"/>
          <w:lang w:val="en-US" w:eastAsia="zh-CN"/>
        </w:rPr>
        <w:t>517.67</w:t>
      </w:r>
      <w:r>
        <w:rPr>
          <w:rFonts w:eastAsia="方正仿宋_GBK"/>
          <w:sz w:val="32"/>
        </w:rPr>
        <w:t>万元，</w:t>
      </w:r>
      <w:r>
        <w:rPr>
          <w:rFonts w:hint="eastAsia" w:ascii="方正仿宋_GBK" w:hAnsi="仿宋_GB2312" w:eastAsia="方正仿宋_GBK" w:cs="仿宋_GB2312"/>
          <w:sz w:val="32"/>
        </w:rPr>
        <w:t>上年结转结余</w:t>
      </w:r>
      <w:r>
        <w:rPr>
          <w:rFonts w:hint="eastAsia" w:ascii="Times New Roman" w:hAnsi="Times New Roman" w:eastAsia="方正仿宋_GBK" w:cs="Times New Roman"/>
          <w:sz w:val="32"/>
          <w:lang w:val="en-US" w:eastAsia="zh-CN"/>
        </w:rPr>
        <w:t>108.57</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eastAsia="方正仿宋_GBK"/>
          <w:sz w:val="32"/>
        </w:rPr>
        <w:t>收入较2023年</w:t>
      </w:r>
      <w:r>
        <w:rPr>
          <w:rFonts w:hint="eastAsia" w:eastAsia="方正仿宋_GBK"/>
          <w:sz w:val="32"/>
          <w:lang w:val="en-US" w:eastAsia="zh-CN"/>
        </w:rPr>
        <w:t>减少184.05</w:t>
      </w:r>
      <w:r>
        <w:rPr>
          <w:rFonts w:eastAsia="方正仿宋_GBK"/>
          <w:sz w:val="32"/>
        </w:rPr>
        <w:t>万元，主要是</w:t>
      </w:r>
      <w:r>
        <w:rPr>
          <w:rFonts w:hint="eastAsia" w:eastAsia="方正仿宋_GBK"/>
          <w:sz w:val="32"/>
          <w:lang w:val="en-US" w:eastAsia="zh-CN"/>
        </w:rPr>
        <w:t>项目减少</w:t>
      </w:r>
      <w:r>
        <w:rPr>
          <w:rFonts w:eastAsia="方正仿宋_GBK"/>
          <w:sz w:val="32"/>
        </w:rPr>
        <w:t>。</w:t>
      </w:r>
    </w:p>
    <w:p>
      <w:pPr>
        <w:spacing w:line="56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lang w:val="en-US" w:eastAsia="zh-CN"/>
        </w:rPr>
        <w:t>626.24</w:t>
      </w:r>
      <w:r>
        <w:rPr>
          <w:rFonts w:eastAsia="方正仿宋_GBK"/>
          <w:sz w:val="32"/>
        </w:rPr>
        <w:t>万元，其中：</w:t>
      </w:r>
      <w:r>
        <w:rPr>
          <w:rFonts w:hint="eastAsia" w:eastAsia="方正仿宋_GBK"/>
          <w:sz w:val="32"/>
        </w:rPr>
        <w:t>文化旅游体育与传媒支出预算</w:t>
      </w:r>
      <w:r>
        <w:rPr>
          <w:rFonts w:hint="eastAsia" w:eastAsia="方正仿宋_GBK"/>
          <w:sz w:val="32"/>
          <w:lang w:val="en-US" w:eastAsia="zh-CN"/>
        </w:rPr>
        <w:t>525.24</w:t>
      </w:r>
      <w:r>
        <w:rPr>
          <w:rFonts w:hint="eastAsia" w:eastAsia="方正仿宋_GBK"/>
          <w:sz w:val="32"/>
        </w:rPr>
        <w:t>万元</w:t>
      </w:r>
      <w:r>
        <w:rPr>
          <w:rFonts w:eastAsia="方正仿宋_GBK"/>
          <w:sz w:val="32"/>
        </w:rPr>
        <w:t>，社会保障和就业支出预算</w:t>
      </w:r>
      <w:r>
        <w:rPr>
          <w:rFonts w:hint="eastAsia" w:eastAsia="方正仿宋_GBK"/>
          <w:sz w:val="32"/>
          <w:lang w:val="en-US" w:eastAsia="zh-CN"/>
        </w:rPr>
        <w:t>66.52</w:t>
      </w:r>
      <w:r>
        <w:rPr>
          <w:rFonts w:eastAsia="方正仿宋_GBK"/>
          <w:sz w:val="32"/>
        </w:rPr>
        <w:t>万元，卫生健康支出预算</w:t>
      </w:r>
      <w:r>
        <w:rPr>
          <w:rFonts w:hint="eastAsia" w:eastAsia="方正仿宋_GBK"/>
          <w:sz w:val="32"/>
          <w:lang w:val="en-US" w:eastAsia="zh-CN"/>
        </w:rPr>
        <w:t>18.47</w:t>
      </w:r>
      <w:r>
        <w:rPr>
          <w:rFonts w:eastAsia="方正仿宋_GBK"/>
          <w:sz w:val="32"/>
        </w:rPr>
        <w:t>万元，住房保障支出预算</w:t>
      </w:r>
      <w:r>
        <w:rPr>
          <w:rFonts w:hint="eastAsia" w:eastAsia="方正仿宋_GBK"/>
          <w:sz w:val="32"/>
          <w:lang w:val="en-US" w:eastAsia="zh-CN"/>
        </w:rPr>
        <w:t>16.01</w:t>
      </w:r>
      <w:r>
        <w:rPr>
          <w:rFonts w:eastAsia="方正仿宋_GBK"/>
          <w:sz w:val="32"/>
        </w:rPr>
        <w:t>万元。支出预算较</w:t>
      </w:r>
      <w:r>
        <w:rPr>
          <w:rFonts w:hint="eastAsia" w:eastAsia="方正仿宋_GBK"/>
          <w:sz w:val="32"/>
        </w:rPr>
        <w:t>202</w:t>
      </w:r>
      <w:r>
        <w:rPr>
          <w:rFonts w:eastAsia="方正仿宋_GBK"/>
          <w:sz w:val="32"/>
        </w:rPr>
        <w:t>3年</w:t>
      </w:r>
      <w:r>
        <w:rPr>
          <w:rFonts w:hint="eastAsia" w:eastAsia="方正仿宋_GBK"/>
          <w:sz w:val="32"/>
          <w:lang w:val="en-US" w:eastAsia="zh-CN"/>
        </w:rPr>
        <w:t>减少184.05</w:t>
      </w:r>
      <w:r>
        <w:rPr>
          <w:rFonts w:eastAsia="方正仿宋_GBK"/>
          <w:sz w:val="32"/>
        </w:rPr>
        <w:t>万元，主要是</w:t>
      </w:r>
      <w:r>
        <w:rPr>
          <w:rFonts w:hint="eastAsia" w:eastAsia="方正仿宋_GBK"/>
          <w:sz w:val="32"/>
          <w:lang w:val="en-US" w:eastAsia="zh-CN"/>
        </w:rPr>
        <w:t>项目减少</w:t>
      </w:r>
      <w:r>
        <w:rPr>
          <w:rFonts w:eastAsia="方正仿宋_GBK"/>
          <w:sz w:val="32"/>
        </w:rPr>
        <w:t>。</w:t>
      </w:r>
    </w:p>
    <w:p>
      <w:pPr>
        <w:spacing w:line="560" w:lineRule="exact"/>
        <w:ind w:left="640"/>
        <w:rPr>
          <w:rFonts w:eastAsia="方正黑体_GBK"/>
          <w:sz w:val="32"/>
        </w:rPr>
      </w:pPr>
      <w:r>
        <w:rPr>
          <w:rFonts w:eastAsia="方正黑体_GBK"/>
          <w:sz w:val="32"/>
        </w:rPr>
        <w:t>三、部门预算情况说明</w:t>
      </w:r>
    </w:p>
    <w:p>
      <w:pPr>
        <w:spacing w:line="56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lang w:val="en-US" w:eastAsia="zh-CN"/>
        </w:rPr>
        <w:t>626.24</w:t>
      </w:r>
      <w:r>
        <w:rPr>
          <w:rFonts w:eastAsia="方正仿宋_GBK"/>
          <w:sz w:val="32"/>
        </w:rPr>
        <w:t>万元，</w:t>
      </w:r>
      <w:r>
        <w:rPr>
          <w:rFonts w:hint="eastAsia" w:eastAsia="方正仿宋_GBK"/>
          <w:sz w:val="32"/>
          <w:lang w:val="en-US" w:eastAsia="zh-CN"/>
        </w:rPr>
        <w:t>其中</w:t>
      </w:r>
      <w:r>
        <w:rPr>
          <w:rFonts w:hint="eastAsia" w:ascii="方正仿宋_GBK" w:hAnsi="仿宋_GB2312" w:eastAsia="方正仿宋_GBK" w:cs="仿宋_GB2312"/>
          <w:sz w:val="32"/>
        </w:rPr>
        <w:t>上年结转结余</w:t>
      </w:r>
      <w:r>
        <w:rPr>
          <w:rFonts w:hint="eastAsia" w:ascii="Times New Roman" w:hAnsi="Times New Roman" w:eastAsia="方正仿宋_GBK" w:cs="Times New Roman"/>
          <w:sz w:val="32"/>
          <w:lang w:val="en-US" w:eastAsia="zh-CN"/>
        </w:rPr>
        <w:t>108.57</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eastAsia="方正仿宋_GBK"/>
          <w:sz w:val="32"/>
        </w:rPr>
        <w:t>一般公共预算财政拨款支出</w:t>
      </w:r>
      <w:r>
        <w:rPr>
          <w:rFonts w:hint="eastAsia" w:eastAsia="方正仿宋_GBK"/>
          <w:sz w:val="32"/>
          <w:lang w:val="en-US" w:eastAsia="zh-CN"/>
        </w:rPr>
        <w:t>626.24</w:t>
      </w:r>
      <w:r>
        <w:rPr>
          <w:rFonts w:eastAsia="方正仿宋_GBK"/>
          <w:sz w:val="32"/>
        </w:rPr>
        <w:t>万元，比2023年减少</w:t>
      </w:r>
      <w:r>
        <w:rPr>
          <w:rFonts w:hint="eastAsia" w:eastAsia="方正仿宋_GBK"/>
          <w:sz w:val="32"/>
          <w:lang w:val="en-US" w:eastAsia="zh-CN"/>
        </w:rPr>
        <w:t>184.05</w:t>
      </w:r>
      <w:r>
        <w:rPr>
          <w:rFonts w:eastAsia="方正仿宋_GBK"/>
          <w:sz w:val="32"/>
        </w:rPr>
        <w:t>万元。其中：基本支出</w:t>
      </w:r>
      <w:r>
        <w:rPr>
          <w:rFonts w:hint="eastAsia" w:eastAsia="方正仿宋_GBK"/>
          <w:sz w:val="32"/>
          <w:lang w:val="en-US" w:eastAsia="zh-CN"/>
        </w:rPr>
        <w:t>341.67</w:t>
      </w:r>
      <w:r>
        <w:rPr>
          <w:rFonts w:eastAsia="方正仿宋_GBK"/>
          <w:sz w:val="32"/>
        </w:rPr>
        <w:t>万元，比2023年</w:t>
      </w:r>
      <w:r>
        <w:rPr>
          <w:rFonts w:hint="eastAsia" w:eastAsia="方正仿宋_GBK"/>
          <w:sz w:val="32"/>
          <w:lang w:val="en-US" w:eastAsia="zh-CN"/>
        </w:rPr>
        <w:t>增加20.38</w:t>
      </w:r>
      <w:r>
        <w:rPr>
          <w:rFonts w:eastAsia="方正仿宋_GBK"/>
          <w:sz w:val="32"/>
        </w:rPr>
        <w:t>万元，主要原因是</w:t>
      </w:r>
      <w:r>
        <w:rPr>
          <w:rFonts w:hint="eastAsia" w:eastAsia="方正仿宋_GBK"/>
          <w:sz w:val="32"/>
          <w:lang w:val="en-US" w:eastAsia="zh-CN"/>
        </w:rPr>
        <w:t>2023年7月新招录1人，2023年10月、12月退休2人</w:t>
      </w:r>
      <w:r>
        <w:rPr>
          <w:rFonts w:hint="eastAsia" w:eastAsia="方正仿宋_GBK"/>
          <w:sz w:val="32"/>
          <w:lang w:eastAsia="zh-CN"/>
        </w:rPr>
        <w:t>。</w:t>
      </w:r>
      <w:r>
        <w:rPr>
          <w:rFonts w:eastAsia="方正仿宋_GBK"/>
          <w:sz w:val="32"/>
        </w:rPr>
        <w:t>主要用于保障在职人员工资福利及社会保险缴费，离休人员离休费，退休人员补助等，保障部门正常运转的各项商品服务支出；项目支出</w:t>
      </w:r>
      <w:r>
        <w:rPr>
          <w:rFonts w:hint="eastAsia" w:eastAsia="方正仿宋_GBK"/>
          <w:sz w:val="32"/>
          <w:lang w:val="en-US" w:eastAsia="zh-CN"/>
        </w:rPr>
        <w:t>284.57</w:t>
      </w:r>
      <w:r>
        <w:rPr>
          <w:rFonts w:eastAsia="方正仿宋_GBK"/>
          <w:sz w:val="32"/>
        </w:rPr>
        <w:t>万元，比2023年减少</w:t>
      </w:r>
      <w:r>
        <w:rPr>
          <w:rFonts w:hint="eastAsia" w:eastAsia="方正仿宋_GBK"/>
          <w:sz w:val="32"/>
          <w:lang w:val="en-US" w:eastAsia="zh-CN"/>
        </w:rPr>
        <w:t>204.43</w:t>
      </w:r>
      <w:r>
        <w:rPr>
          <w:rFonts w:eastAsia="方正仿宋_GBK"/>
          <w:sz w:val="32"/>
        </w:rPr>
        <w:t>万元，主要原因是</w:t>
      </w:r>
      <w:r>
        <w:rPr>
          <w:rFonts w:hint="eastAsia" w:eastAsia="方正仿宋_GBK"/>
          <w:sz w:val="32"/>
          <w:lang w:val="en-US" w:eastAsia="zh-CN"/>
        </w:rPr>
        <w:t>项目减少</w:t>
      </w:r>
      <w:r>
        <w:rPr>
          <w:rFonts w:eastAsia="方正仿宋_GBK"/>
          <w:sz w:val="32"/>
        </w:rPr>
        <w:t>。</w:t>
      </w:r>
    </w:p>
    <w:p>
      <w:pPr>
        <w:spacing w:line="560" w:lineRule="exact"/>
        <w:ind w:firstLine="640" w:firstLineChars="200"/>
        <w:rPr>
          <w:rFonts w:hint="eastAsia" w:eastAsia="方正仿宋_GBK"/>
          <w:sz w:val="32"/>
          <w:lang w:eastAsia="zh-CN"/>
        </w:rPr>
      </w:pPr>
      <w:r>
        <w:rPr>
          <w:rFonts w:hint="eastAsia" w:eastAsia="方正仿宋_GBK"/>
          <w:sz w:val="32"/>
        </w:rPr>
        <w:t>重庆市开州区文物管理所202</w:t>
      </w:r>
      <w:r>
        <w:rPr>
          <w:rFonts w:hint="eastAsia" w:eastAsia="方正仿宋_GBK"/>
          <w:sz w:val="32"/>
          <w:lang w:val="en-US" w:eastAsia="zh-CN"/>
        </w:rPr>
        <w:t>4</w:t>
      </w:r>
      <w:r>
        <w:rPr>
          <w:rFonts w:hint="eastAsia" w:eastAsia="方正仿宋_GBK"/>
          <w:sz w:val="32"/>
        </w:rPr>
        <w:t>年无使用政府性基金预算拨款安排的支出</w:t>
      </w:r>
      <w:r>
        <w:rPr>
          <w:rFonts w:hint="eastAsia" w:eastAsia="方正仿宋_GBK"/>
          <w:sz w:val="32"/>
          <w:lang w:eastAsia="zh-CN"/>
        </w:rPr>
        <w:t>。</w:t>
      </w:r>
    </w:p>
    <w:p>
      <w:pPr>
        <w:spacing w:line="56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56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ascii="Times New Roman" w:hAnsi="Times New Roman" w:eastAsia="方正仿宋_GBK" w:cs="Times New Roman"/>
          <w:sz w:val="32"/>
          <w:lang w:val="en-US" w:eastAsia="zh-CN"/>
        </w:rPr>
        <w:t>3.8</w:t>
      </w:r>
      <w:r>
        <w:rPr>
          <w:rFonts w:eastAsia="方正仿宋_GBK"/>
          <w:sz w:val="32"/>
        </w:rPr>
        <w:t>万元，比2023年减少</w:t>
      </w:r>
      <w:r>
        <w:rPr>
          <w:rFonts w:hint="eastAsia" w:eastAsia="方正仿宋_GBK"/>
          <w:sz w:val="32"/>
          <w:lang w:val="en-US" w:eastAsia="zh-CN"/>
        </w:rPr>
        <w:t>1.8</w:t>
      </w:r>
      <w:r>
        <w:rPr>
          <w:rFonts w:eastAsia="方正仿宋_GBK"/>
          <w:sz w:val="32"/>
        </w:rPr>
        <w:t>万元。其中：公务接待费</w:t>
      </w:r>
      <w:r>
        <w:rPr>
          <w:rFonts w:hint="eastAsia" w:eastAsia="方正仿宋_GBK"/>
          <w:sz w:val="32"/>
          <w:lang w:val="en-US" w:eastAsia="zh-CN"/>
        </w:rPr>
        <w:t>0.8</w:t>
      </w:r>
      <w:r>
        <w:rPr>
          <w:rFonts w:eastAsia="方正仿宋_GBK"/>
          <w:sz w:val="32"/>
        </w:rPr>
        <w:t>万元，比2023年增加</w:t>
      </w:r>
      <w:r>
        <w:rPr>
          <w:rFonts w:hint="eastAsia" w:eastAsia="方正仿宋_GBK"/>
          <w:sz w:val="32"/>
          <w:lang w:val="en-US" w:eastAsia="zh-CN"/>
        </w:rPr>
        <w:t>0.2</w:t>
      </w:r>
      <w:r>
        <w:rPr>
          <w:rFonts w:eastAsia="方正仿宋_GBK"/>
          <w:sz w:val="32"/>
        </w:rPr>
        <w:t>万元，主要原因是</w:t>
      </w:r>
      <w:r>
        <w:rPr>
          <w:rFonts w:hint="eastAsia" w:eastAsia="方正仿宋_GBK"/>
          <w:sz w:val="32"/>
          <w:lang w:val="en-US" w:eastAsia="zh-CN"/>
        </w:rPr>
        <w:t>馆际交流增加</w:t>
      </w:r>
      <w:r>
        <w:rPr>
          <w:rFonts w:eastAsia="方正仿宋_GBK"/>
          <w:sz w:val="32"/>
        </w:rPr>
        <w:t>；公务用车运行维护费</w:t>
      </w:r>
      <w:r>
        <w:rPr>
          <w:rFonts w:hint="eastAsia" w:eastAsia="方正仿宋_GBK"/>
          <w:sz w:val="32"/>
          <w:lang w:val="en-US" w:eastAsia="zh-CN"/>
        </w:rPr>
        <w:t>3</w:t>
      </w:r>
      <w:r>
        <w:rPr>
          <w:rFonts w:eastAsia="方正仿宋_GBK"/>
          <w:sz w:val="32"/>
        </w:rPr>
        <w:t>万元，比2023年减少</w:t>
      </w:r>
      <w:r>
        <w:rPr>
          <w:rFonts w:hint="eastAsia" w:eastAsia="方正仿宋_GBK"/>
          <w:sz w:val="32"/>
          <w:lang w:val="en-US" w:eastAsia="zh-CN"/>
        </w:rPr>
        <w:t>2</w:t>
      </w:r>
      <w:r>
        <w:rPr>
          <w:rFonts w:eastAsia="方正仿宋_GBK"/>
          <w:sz w:val="32"/>
        </w:rPr>
        <w:t>万元，主要原因是</w:t>
      </w:r>
      <w:r>
        <w:rPr>
          <w:rFonts w:hint="eastAsia" w:eastAsia="方正仿宋_GBK"/>
          <w:sz w:val="32"/>
          <w:lang w:val="en-US" w:eastAsia="zh-CN"/>
        </w:rPr>
        <w:t>厉行节约，减少开支</w:t>
      </w:r>
      <w:r>
        <w:rPr>
          <w:rFonts w:eastAsia="方正仿宋_GBK"/>
          <w:sz w:val="32"/>
        </w:rPr>
        <w:t>。</w:t>
      </w:r>
    </w:p>
    <w:p>
      <w:pPr>
        <w:spacing w:line="560" w:lineRule="exact"/>
        <w:ind w:left="640"/>
        <w:rPr>
          <w:rFonts w:eastAsia="方正黑体_GBK"/>
          <w:sz w:val="32"/>
        </w:rPr>
      </w:pPr>
      <w:r>
        <w:rPr>
          <w:rFonts w:eastAsia="方正黑体_GBK"/>
          <w:sz w:val="32"/>
        </w:rPr>
        <w:t>五、其他重要事项的情况说明</w:t>
      </w:r>
    </w:p>
    <w:p>
      <w:pPr>
        <w:spacing w:line="560" w:lineRule="exact"/>
        <w:ind w:firstLine="640" w:firstLineChars="200"/>
        <w:rPr>
          <w:rFonts w:eastAsia="方正仿宋_GBK"/>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一</w:t>
      </w: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color w:val="000000"/>
          <w:sz w:val="32"/>
          <w:lang w:val="en-US" w:eastAsia="zh-CN"/>
        </w:rPr>
        <w:t>机关运行</w:t>
      </w:r>
      <w:r>
        <w:rPr>
          <w:rFonts w:hint="eastAsia" w:ascii="方正楷体_GBK" w:hAnsi="方正楷体_GBK" w:eastAsia="方正楷体_GBK" w:cs="方正楷体_GBK"/>
          <w:b w:val="0"/>
          <w:bCs/>
          <w:sz w:val="32"/>
          <w:lang w:val="en-US" w:eastAsia="zh-CN"/>
        </w:rPr>
        <w:t>经费。</w:t>
      </w:r>
      <w:r>
        <w:rPr>
          <w:rFonts w:eastAsia="方正仿宋_GBK"/>
          <w:sz w:val="32"/>
        </w:rPr>
        <w:t>我单位不在机关运行经费统计范围之内。</w:t>
      </w:r>
    </w:p>
    <w:p>
      <w:pPr>
        <w:spacing w:line="560" w:lineRule="exact"/>
        <w:ind w:firstLine="640" w:firstLineChars="200"/>
        <w:rPr>
          <w:rFonts w:eastAsia="方正仿宋_GBK"/>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二</w:t>
      </w:r>
      <w:r>
        <w:rPr>
          <w:rFonts w:hint="eastAsia" w:ascii="方正楷体_GBK" w:hAnsi="方正楷体_GBK" w:eastAsia="方正楷体_GBK" w:cs="方正楷体_GBK"/>
          <w:b w:val="0"/>
          <w:bCs/>
          <w:sz w:val="32"/>
          <w:lang w:eastAsia="zh-CN"/>
        </w:rPr>
        <w:t>）政府采购情况。</w:t>
      </w:r>
      <w:r>
        <w:rPr>
          <w:rFonts w:hint="eastAsia" w:eastAsia="方正仿宋_GBK"/>
          <w:sz w:val="32"/>
          <w:lang w:val="en-US" w:eastAsia="zh-CN"/>
        </w:rPr>
        <w:t>无</w:t>
      </w:r>
      <w:r>
        <w:rPr>
          <w:rFonts w:eastAsia="方正仿宋_GBK"/>
          <w:sz w:val="32"/>
        </w:rPr>
        <w:t>。</w:t>
      </w:r>
    </w:p>
    <w:p>
      <w:pPr>
        <w:spacing w:line="560" w:lineRule="exact"/>
        <w:ind w:firstLine="640" w:firstLineChars="200"/>
        <w:rPr>
          <w:rFonts w:eastAsia="方正仿宋_GBK"/>
          <w:color w:val="000000"/>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三</w:t>
      </w:r>
      <w:r>
        <w:rPr>
          <w:rFonts w:hint="eastAsia" w:ascii="方正楷体_GBK" w:hAnsi="方正楷体_GBK" w:eastAsia="方正楷体_GBK" w:cs="方正楷体_GBK"/>
          <w:b w:val="0"/>
          <w:bCs/>
          <w:sz w:val="32"/>
          <w:lang w:eastAsia="zh-CN"/>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lang w:val="en-US" w:eastAsia="zh-CN"/>
        </w:rPr>
        <w:t>284.57</w:t>
      </w:r>
      <w:r>
        <w:rPr>
          <w:rFonts w:eastAsia="方正仿宋_GBK"/>
          <w:color w:val="000000"/>
          <w:sz w:val="32"/>
        </w:rPr>
        <w:t>万元。</w:t>
      </w:r>
    </w:p>
    <w:p>
      <w:pPr>
        <w:spacing w:line="560" w:lineRule="exact"/>
        <w:ind w:firstLine="640" w:firstLineChars="200"/>
        <w:rPr>
          <w:rFonts w:eastAsia="方正仿宋_GBK"/>
          <w:color w:val="000000"/>
          <w:sz w:val="32"/>
        </w:rPr>
      </w:pPr>
      <w:r>
        <w:rPr>
          <w:rFonts w:hint="eastAsia" w:ascii="方正楷体_GBK" w:hAnsi="方正楷体_GBK" w:eastAsia="方正楷体_GBK" w:cs="方正楷体_GBK"/>
          <w:b w:val="0"/>
          <w:bCs/>
          <w:sz w:val="32"/>
          <w:lang w:eastAsia="zh-CN"/>
        </w:rPr>
        <w:t>（</w:t>
      </w:r>
      <w:r>
        <w:rPr>
          <w:rFonts w:hint="eastAsia" w:ascii="方正楷体_GBK" w:hAnsi="方正楷体_GBK" w:eastAsia="方正楷体_GBK" w:cs="方正楷体_GBK"/>
          <w:b w:val="0"/>
          <w:bCs/>
          <w:sz w:val="32"/>
          <w:lang w:val="en-US" w:eastAsia="zh-CN"/>
        </w:rPr>
        <w:t>四</w:t>
      </w:r>
      <w:r>
        <w:rPr>
          <w:rFonts w:hint="eastAsia" w:ascii="方正楷体_GBK" w:hAnsi="方正楷体_GBK" w:eastAsia="方正楷体_GBK" w:cs="方正楷体_GBK"/>
          <w:b w:val="0"/>
          <w:bCs/>
          <w:sz w:val="32"/>
          <w:lang w:eastAsia="zh-CN"/>
        </w:rPr>
        <w:t>）国有资产占有使用情况。</w:t>
      </w:r>
      <w:r>
        <w:rPr>
          <w:rFonts w:hint="eastAsia" w:eastAsia="方正仿宋_GBK"/>
          <w:color w:val="000000"/>
          <w:sz w:val="32"/>
          <w:lang w:val="en-US" w:eastAsia="zh-CN"/>
        </w:rPr>
        <w:t>截至</w:t>
      </w:r>
      <w:bookmarkStart w:id="0" w:name="_GoBack"/>
      <w:bookmarkEnd w:id="0"/>
      <w:r>
        <w:rPr>
          <w:rFonts w:eastAsia="方正仿宋_GBK"/>
          <w:color w:val="000000"/>
          <w:sz w:val="32"/>
        </w:rPr>
        <w:t>2023年12月，</w:t>
      </w:r>
      <w:r>
        <w:rPr>
          <w:rFonts w:hint="eastAsia" w:eastAsia="方正仿宋_GBK"/>
          <w:color w:val="000000"/>
          <w:sz w:val="32"/>
        </w:rPr>
        <w:t>本单位</w:t>
      </w:r>
      <w:r>
        <w:rPr>
          <w:rFonts w:eastAsia="方正仿宋_GBK"/>
          <w:color w:val="000000"/>
          <w:sz w:val="32"/>
        </w:rPr>
        <w:t>共有车辆</w:t>
      </w:r>
      <w:r>
        <w:rPr>
          <w:rFonts w:hint="eastAsia" w:eastAsia="方正仿宋_GBK"/>
          <w:color w:val="000000"/>
          <w:sz w:val="32"/>
          <w:lang w:val="en-US" w:eastAsia="zh-CN"/>
        </w:rPr>
        <w:t>1</w:t>
      </w:r>
      <w:r>
        <w:rPr>
          <w:rFonts w:eastAsia="方正仿宋_GBK"/>
          <w:color w:val="000000"/>
          <w:sz w:val="32"/>
        </w:rPr>
        <w:t>辆，其中一般公务用车</w:t>
      </w:r>
      <w:r>
        <w:rPr>
          <w:rFonts w:hint="eastAsia" w:eastAsia="方正仿宋_GBK"/>
          <w:color w:val="000000"/>
          <w:sz w:val="32"/>
          <w:lang w:val="en-US" w:eastAsia="zh-CN"/>
        </w:rPr>
        <w:t>1</w:t>
      </w:r>
      <w:r>
        <w:rPr>
          <w:rFonts w:eastAsia="方正仿宋_GBK"/>
          <w:color w:val="000000"/>
          <w:sz w:val="32"/>
        </w:rPr>
        <w:t>辆。2024年一般公共预算</w:t>
      </w:r>
      <w:r>
        <w:rPr>
          <w:rFonts w:hint="eastAsia" w:eastAsia="方正仿宋_GBK"/>
          <w:color w:val="000000"/>
          <w:sz w:val="32"/>
        </w:rPr>
        <w:t>未安</w:t>
      </w:r>
      <w:r>
        <w:rPr>
          <w:rFonts w:eastAsia="方正仿宋_GBK"/>
          <w:color w:val="000000"/>
          <w:sz w:val="32"/>
        </w:rPr>
        <w:t>排购置车辆。</w:t>
      </w:r>
    </w:p>
    <w:p>
      <w:pPr>
        <w:spacing w:line="560" w:lineRule="exact"/>
        <w:ind w:firstLine="640" w:firstLineChars="200"/>
        <w:rPr>
          <w:rFonts w:eastAsia="方正黑体_GBK"/>
          <w:sz w:val="32"/>
        </w:rPr>
      </w:pPr>
      <w:r>
        <w:rPr>
          <w:rFonts w:eastAsia="方正黑体_GBK"/>
          <w:sz w:val="32"/>
        </w:rPr>
        <w:t>六、专业性名词解释</w:t>
      </w:r>
    </w:p>
    <w:p>
      <w:pPr>
        <w:pStyle w:val="17"/>
        <w:tabs>
          <w:tab w:val="center" w:pos="4153"/>
          <w:tab w:val="left" w:pos="7275"/>
        </w:tabs>
        <w:spacing w:line="56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7"/>
        <w:tabs>
          <w:tab w:val="center" w:pos="4153"/>
          <w:tab w:val="left" w:pos="7275"/>
        </w:tabs>
        <w:spacing w:line="560" w:lineRule="exact"/>
        <w:ind w:firstLine="640"/>
        <w:jc w:val="left"/>
        <w:rPr>
          <w:rFonts w:hint="eastAsia"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17"/>
        <w:tabs>
          <w:tab w:val="center" w:pos="4153"/>
          <w:tab w:val="left" w:pos="7275"/>
        </w:tabs>
        <w:spacing w:line="56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7"/>
        <w:tabs>
          <w:tab w:val="center" w:pos="4153"/>
          <w:tab w:val="left" w:pos="7275"/>
        </w:tabs>
        <w:spacing w:line="56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spacing w:line="56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880" w:firstLineChars="200"/>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ind w:firstLine="880" w:firstLineChars="200"/>
        <w:rPr>
          <w:rFonts w:hint="eastAsia" w:eastAsia="方正小标宋_GBK"/>
          <w:sz w:val="44"/>
          <w:szCs w:val="44"/>
        </w:rPr>
      </w:pPr>
    </w:p>
    <w:p>
      <w:pPr>
        <w:spacing w:line="560" w:lineRule="exact"/>
        <w:jc w:val="center"/>
        <w:rPr>
          <w:rFonts w:hint="eastAsia" w:eastAsia="方正小标宋_GBK"/>
          <w:sz w:val="44"/>
          <w:szCs w:val="44"/>
        </w:rPr>
      </w:pPr>
      <w:r>
        <w:rPr>
          <w:rFonts w:hint="eastAsia" w:eastAsia="方正小标宋_GBK"/>
          <w:sz w:val="44"/>
          <w:szCs w:val="44"/>
        </w:rPr>
        <w:t>第二部分：2024年部门预算公开报表</w:t>
      </w:r>
    </w:p>
    <w:p>
      <w:pPr>
        <w:spacing w:line="560" w:lineRule="exact"/>
        <w:ind w:firstLine="640" w:firstLineChars="200"/>
        <w:rPr>
          <w:rFonts w:hint="eastAsia" w:eastAsia="方正黑体_GBK"/>
          <w:sz w:val="32"/>
        </w:rPr>
      </w:pPr>
    </w:p>
    <w:p>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2024年部门预算公开报表（详见附表</w:t>
      </w:r>
      <w:r>
        <w:rPr>
          <w:rFonts w:hint="eastAsia" w:ascii="方正仿宋_GBK" w:hAnsi="方正仿宋_GBK" w:eastAsia="方正仿宋_GBK" w:cs="方正仿宋_GBK"/>
          <w:sz w:val="32"/>
          <w:lang w:val="en-US" w:eastAsia="zh-CN"/>
        </w:rPr>
        <w:t>重庆市开州区文物管理所</w:t>
      </w:r>
      <w:r>
        <w:rPr>
          <w:rFonts w:hint="eastAsia" w:ascii="方正仿宋_GBK" w:hAnsi="方正仿宋_GBK" w:eastAsia="方正仿宋_GBK" w:cs="方正仿宋_GBK"/>
          <w:sz w:val="32"/>
        </w:rPr>
        <w:t>2024年部门预算公开报表）</w:t>
      </w:r>
    </w:p>
    <w:p>
      <w:pPr>
        <w:spacing w:line="560" w:lineRule="exact"/>
        <w:ind w:firstLine="640" w:firstLineChars="200"/>
        <w:rPr>
          <w:rFonts w:hint="eastAsia" w:ascii="方正仿宋_GBK" w:hAnsi="方正仿宋_GBK" w:eastAsia="方正仿宋_GBK" w:cs="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rPr>
      </w:pPr>
      <w:r>
        <w:rPr>
          <w:rFonts w:hint="eastAsia" w:ascii="方正仿宋_GBK" w:hAnsi="方正仿宋_GBK" w:eastAsia="方正仿宋_GBK" w:cs="方正仿宋_GBK"/>
          <w:b w:val="0"/>
          <w:bCs/>
          <w:sz w:val="32"/>
        </w:rPr>
        <w:t>部门预算公开联系人：</w:t>
      </w:r>
      <w:r>
        <w:rPr>
          <w:rFonts w:hint="eastAsia" w:ascii="方正仿宋_GBK" w:hAnsi="方正仿宋_GBK" w:eastAsia="方正仿宋_GBK" w:cs="方正仿宋_GBK"/>
          <w:b w:val="0"/>
          <w:bCs/>
          <w:sz w:val="32"/>
          <w:lang w:val="en-US" w:eastAsia="zh-CN"/>
        </w:rPr>
        <w:t>陈瑶</w:t>
      </w:r>
      <w:r>
        <w:rPr>
          <w:rFonts w:hint="eastAsia" w:ascii="方正仿宋_GBK" w:hAnsi="方正仿宋_GBK" w:eastAsia="方正仿宋_GBK" w:cs="方正仿宋_GBK"/>
          <w:b w:val="0"/>
          <w:bCs/>
          <w:sz w:val="32"/>
        </w:rPr>
        <w:t xml:space="preserve">  </w:t>
      </w:r>
      <w:r>
        <w:rPr>
          <w:rFonts w:hint="eastAsia" w:ascii="方正仿宋_GBK" w:hAnsi="方正仿宋_GBK" w:eastAsia="方正仿宋_GBK" w:cs="方正仿宋_GBK"/>
          <w:b w:val="0"/>
          <w:bCs/>
          <w:sz w:val="32"/>
          <w:lang w:val="en-US" w:eastAsia="zh-CN"/>
        </w:rPr>
        <w:t xml:space="preserve"> </w:t>
      </w:r>
      <w:r>
        <w:rPr>
          <w:rFonts w:hint="eastAsia" w:ascii="方正仿宋_GBK" w:hAnsi="方正仿宋_GBK" w:eastAsia="方正仿宋_GBK" w:cs="方正仿宋_GBK"/>
          <w:b w:val="0"/>
          <w:bCs/>
          <w:sz w:val="32"/>
        </w:rPr>
        <w:t>联系方式：023-</w:t>
      </w:r>
      <w:r>
        <w:rPr>
          <w:rFonts w:hint="eastAsia" w:ascii="方正仿宋_GBK" w:hAnsi="方正仿宋_GBK" w:eastAsia="方正仿宋_GBK" w:cs="方正仿宋_GBK"/>
          <w:b w:val="0"/>
          <w:bCs/>
          <w:sz w:val="32"/>
          <w:lang w:val="en-US" w:eastAsia="zh-CN"/>
        </w:rPr>
        <w:t>52662992</w:t>
      </w:r>
    </w:p>
    <w:p>
      <w:pPr>
        <w:ind w:right="640" w:firstLine="640" w:firstLineChars="200"/>
        <w:jc w:val="center"/>
        <w:rPr>
          <w:rFonts w:ascii="方正仿宋_GBK" w:eastAsia="方正仿宋_GBK"/>
          <w:sz w:val="32"/>
          <w:szCs w:val="32"/>
        </w:rPr>
      </w:pPr>
    </w:p>
    <w:p>
      <w:pPr>
        <w:ind w:right="640" w:firstLine="640" w:firstLineChars="200"/>
        <w:jc w:val="right"/>
        <w:rPr>
          <w:rFonts w:ascii="方正仿宋_GBK" w:eastAsia="方正仿宋_GBK"/>
          <w:sz w:val="32"/>
          <w:szCs w:val="32"/>
        </w:rPr>
      </w:pPr>
    </w:p>
    <w:p>
      <w:pPr>
        <w:ind w:right="640" w:firstLine="640" w:firstLineChars="200"/>
        <w:jc w:val="righ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重庆市开州区文物管理所</w:t>
      </w:r>
    </w:p>
    <w:p>
      <w:pPr>
        <w:wordWrap w:val="0"/>
        <w:ind w:right="640" w:firstLine="640" w:firstLineChars="200"/>
        <w:jc w:val="right"/>
        <w:rPr>
          <w:rFonts w:hint="default" w:ascii="方正仿宋_GBK" w:eastAsia="方正仿宋_GBK"/>
          <w:sz w:val="32"/>
          <w:szCs w:val="32"/>
          <w:lang w:val="en-US"/>
        </w:rPr>
      </w:pPr>
      <w:r>
        <w:rPr>
          <w:rFonts w:hint="eastAsia" w:ascii="方正仿宋_GBK" w:eastAsia="方正仿宋_GBK"/>
          <w:sz w:val="32"/>
          <w:szCs w:val="32"/>
          <w:lang w:val="en-US" w:eastAsia="zh-CN"/>
        </w:rPr>
        <w:t xml:space="preserve">    2024年3月21日  </w:t>
      </w:r>
    </w:p>
    <w:p>
      <w:pPr>
        <w:ind w:right="640" w:firstLine="640" w:firstLineChars="200"/>
        <w:jc w:val="center"/>
        <w:rPr>
          <w:rFonts w:ascii="方正仿宋_GBK" w:eastAsia="方正仿宋_GBK"/>
          <w:sz w:val="32"/>
          <w:szCs w:val="32"/>
        </w:rPr>
      </w:pPr>
    </w:p>
    <w:p>
      <w:pPr>
        <w:ind w:right="640" w:firstLine="640" w:firstLineChars="200"/>
        <w:jc w:val="center"/>
        <w:rPr>
          <w:rFonts w:ascii="方正仿宋_GBK" w:eastAsia="方正仿宋_GBK"/>
          <w:sz w:val="32"/>
          <w:szCs w:val="32"/>
        </w:rPr>
      </w:pPr>
    </w:p>
    <w:p>
      <w:pPr>
        <w:ind w:right="640" w:firstLine="640" w:firstLineChars="200"/>
        <w:jc w:val="center"/>
        <w:rPr>
          <w:rFonts w:ascii="方正仿宋_GBK" w:eastAsia="方正仿宋_GBK"/>
          <w:sz w:val="32"/>
          <w:szCs w:val="32"/>
        </w:rPr>
      </w:pPr>
    </w:p>
    <w:p>
      <w:pPr>
        <w:ind w:right="640"/>
        <w:jc w:val="both"/>
        <w:rPr>
          <w:rFonts w:ascii="方正仿宋_GBK" w:eastAsia="方正仿宋_GBK"/>
          <w:sz w:val="32"/>
          <w:szCs w:val="32"/>
        </w:rPr>
      </w:pPr>
    </w:p>
    <w:p>
      <w:pPr>
        <w:ind w:right="640"/>
        <w:jc w:val="both"/>
        <w:rPr>
          <w:rFonts w:ascii="方正仿宋_GBK" w:eastAsia="方正仿宋_GBK"/>
          <w:sz w:val="32"/>
          <w:szCs w:val="32"/>
        </w:rPr>
      </w:pPr>
    </w:p>
    <w:p>
      <w:pPr>
        <w:ind w:right="640"/>
        <w:jc w:val="both"/>
        <w:rPr>
          <w:rFonts w:ascii="方正仿宋_GBK" w:eastAsia="方正仿宋_GBK"/>
          <w:sz w:val="32"/>
          <w:szCs w:val="32"/>
        </w:rPr>
      </w:pPr>
    </w:p>
    <w:p>
      <w:pPr>
        <w:ind w:right="640"/>
        <w:jc w:val="both"/>
        <w:rPr>
          <w:rFonts w:ascii="方正仿宋_GBK" w:eastAsia="方正仿宋_GBK"/>
          <w:sz w:val="32"/>
          <w:szCs w:val="32"/>
        </w:rPr>
      </w:pPr>
    </w:p>
    <w:p>
      <w:pPr>
        <w:ind w:right="640"/>
        <w:jc w:val="both"/>
        <w:rPr>
          <w:rFonts w:ascii="方正仿宋_GBK" w:eastAsia="方正仿宋_GBK"/>
          <w:sz w:val="32"/>
          <w:szCs w:val="32"/>
        </w:rPr>
      </w:pPr>
    </w:p>
    <w:p>
      <w:pPr>
        <w:ind w:right="640" w:firstLine="640" w:firstLineChars="200"/>
        <w:jc w:val="center"/>
        <w:rPr>
          <w:rFonts w:ascii="方正仿宋_GBK" w:eastAsia="方正仿宋_GBK"/>
          <w:sz w:val="32"/>
          <w:szCs w:val="32"/>
        </w:rPr>
      </w:pPr>
    </w:p>
    <w:p>
      <w:pPr>
        <w:ind w:right="640"/>
        <w:jc w:val="both"/>
        <w:rPr>
          <w:rFonts w:ascii="方正仿宋_GBK" w:eastAsia="方正仿宋_GBK"/>
          <w:sz w:val="32"/>
          <w:szCs w:val="32"/>
        </w:rPr>
      </w:pPr>
    </w:p>
    <w:p>
      <w:pPr>
        <w:ind w:right="640" w:firstLine="640" w:firstLineChars="200"/>
        <w:jc w:val="center"/>
        <w:rPr>
          <w:rFonts w:ascii="方正仿宋_GBK" w:eastAsia="方正仿宋_GBK"/>
          <w:sz w:val="32"/>
          <w:szCs w:val="32"/>
        </w:rPr>
      </w:pPr>
    </w:p>
    <w:p>
      <w:pPr>
        <w:ind w:right="640"/>
        <w:jc w:val="both"/>
        <w:rPr>
          <w:rFonts w:ascii="方正仿宋_GBK" w:eastAsia="方正仿宋_GBK"/>
          <w:sz w:val="32"/>
          <w:szCs w:val="32"/>
        </w:rPr>
      </w:pPr>
    </w:p>
    <w:p>
      <w:pPr>
        <w:pBdr>
          <w:top w:val="single" w:color="auto" w:sz="2" w:space="1"/>
          <w:bottom w:val="single" w:color="auto" w:sz="4" w:space="1"/>
        </w:pBdr>
        <w:spacing w:line="520" w:lineRule="exact"/>
        <w:rPr>
          <w:rFonts w:ascii="仿宋_GB2312" w:eastAsia="仿宋_GB2312"/>
          <w:sz w:val="32"/>
          <w:szCs w:val="32"/>
        </w:rPr>
      </w:pPr>
      <w:r>
        <w:rPr>
          <w:rFonts w:hint="eastAsia" w:ascii="仿宋_GB2312" w:eastAsia="仿宋_GB2312"/>
          <w:sz w:val="32"/>
          <w:szCs w:val="32"/>
        </w:rPr>
        <w:t>重庆市开州区文物管理所办公室</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日印</w:t>
      </w:r>
    </w:p>
    <w:sectPr>
      <w:headerReference r:id="rId3" w:type="default"/>
      <w:footerReference r:id="rId4" w:type="default"/>
      <w:pgSz w:w="11906" w:h="16838"/>
      <w:pgMar w:top="1440" w:right="1800" w:bottom="1440" w:left="1800" w:header="851" w:footer="992" w:gutter="0"/>
      <w:pgNumType w:fmt="decimal"/>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Theme="minorEastAsia" w:hAnsiTheme="minorEastAsia" w:eastAsiaTheme="minorEastAsia" w:cstheme="minorEastAsia"/>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jM3YWNjNWE5YjdjZjkwNjg2MzczNzA2YjVhZDUifQ=="/>
  </w:docVars>
  <w:rsids>
    <w:rsidRoot w:val="00F40BC2"/>
    <w:rsid w:val="00000858"/>
    <w:rsid w:val="00042702"/>
    <w:rsid w:val="00043851"/>
    <w:rsid w:val="000646C2"/>
    <w:rsid w:val="00076478"/>
    <w:rsid w:val="0009034B"/>
    <w:rsid w:val="000A5C5D"/>
    <w:rsid w:val="000B7F7E"/>
    <w:rsid w:val="000C3E9A"/>
    <w:rsid w:val="000E0608"/>
    <w:rsid w:val="000F6C34"/>
    <w:rsid w:val="000F6CDA"/>
    <w:rsid w:val="000F77C2"/>
    <w:rsid w:val="00104953"/>
    <w:rsid w:val="001262F7"/>
    <w:rsid w:val="00130B76"/>
    <w:rsid w:val="00136F7B"/>
    <w:rsid w:val="00142F5A"/>
    <w:rsid w:val="00146FC8"/>
    <w:rsid w:val="0015772B"/>
    <w:rsid w:val="00191A55"/>
    <w:rsid w:val="0019545E"/>
    <w:rsid w:val="00196341"/>
    <w:rsid w:val="001A4081"/>
    <w:rsid w:val="001F5314"/>
    <w:rsid w:val="00202939"/>
    <w:rsid w:val="0020725C"/>
    <w:rsid w:val="0022460E"/>
    <w:rsid w:val="00262095"/>
    <w:rsid w:val="00270DA2"/>
    <w:rsid w:val="0027453F"/>
    <w:rsid w:val="00297F9F"/>
    <w:rsid w:val="002A07AB"/>
    <w:rsid w:val="002B2397"/>
    <w:rsid w:val="002B57AC"/>
    <w:rsid w:val="002D7CA5"/>
    <w:rsid w:val="002F36B4"/>
    <w:rsid w:val="00330FBE"/>
    <w:rsid w:val="003320A9"/>
    <w:rsid w:val="0033560E"/>
    <w:rsid w:val="0035339F"/>
    <w:rsid w:val="00377C0F"/>
    <w:rsid w:val="00387404"/>
    <w:rsid w:val="003B762B"/>
    <w:rsid w:val="003C2A59"/>
    <w:rsid w:val="003E23F7"/>
    <w:rsid w:val="003E51C7"/>
    <w:rsid w:val="004002EF"/>
    <w:rsid w:val="00410233"/>
    <w:rsid w:val="00415CCA"/>
    <w:rsid w:val="004177E8"/>
    <w:rsid w:val="0043549A"/>
    <w:rsid w:val="00451FDA"/>
    <w:rsid w:val="00473399"/>
    <w:rsid w:val="004D5E2B"/>
    <w:rsid w:val="004E19D8"/>
    <w:rsid w:val="004E1B74"/>
    <w:rsid w:val="00507E16"/>
    <w:rsid w:val="0052061B"/>
    <w:rsid w:val="005322D8"/>
    <w:rsid w:val="00535A7B"/>
    <w:rsid w:val="00544757"/>
    <w:rsid w:val="005449BE"/>
    <w:rsid w:val="005461EB"/>
    <w:rsid w:val="00565E25"/>
    <w:rsid w:val="005757CC"/>
    <w:rsid w:val="00593DDA"/>
    <w:rsid w:val="005966AF"/>
    <w:rsid w:val="005D3FDB"/>
    <w:rsid w:val="005E3F99"/>
    <w:rsid w:val="005E45A9"/>
    <w:rsid w:val="005F1B0F"/>
    <w:rsid w:val="0060647B"/>
    <w:rsid w:val="006135C2"/>
    <w:rsid w:val="00627D75"/>
    <w:rsid w:val="00634C69"/>
    <w:rsid w:val="0064014D"/>
    <w:rsid w:val="006407B8"/>
    <w:rsid w:val="00653F90"/>
    <w:rsid w:val="0067433D"/>
    <w:rsid w:val="00677679"/>
    <w:rsid w:val="0068285C"/>
    <w:rsid w:val="006A0BF9"/>
    <w:rsid w:val="006A2DB0"/>
    <w:rsid w:val="006A3163"/>
    <w:rsid w:val="006A558B"/>
    <w:rsid w:val="006B6DEB"/>
    <w:rsid w:val="006C4AF2"/>
    <w:rsid w:val="006C5C06"/>
    <w:rsid w:val="006D0834"/>
    <w:rsid w:val="006E0B45"/>
    <w:rsid w:val="00716E83"/>
    <w:rsid w:val="00722DF7"/>
    <w:rsid w:val="007479EE"/>
    <w:rsid w:val="00783552"/>
    <w:rsid w:val="0079389E"/>
    <w:rsid w:val="007F1571"/>
    <w:rsid w:val="00834413"/>
    <w:rsid w:val="0083481F"/>
    <w:rsid w:val="00854125"/>
    <w:rsid w:val="00854C28"/>
    <w:rsid w:val="008625D6"/>
    <w:rsid w:val="0086263B"/>
    <w:rsid w:val="008667C4"/>
    <w:rsid w:val="00870A05"/>
    <w:rsid w:val="00875F7B"/>
    <w:rsid w:val="00892793"/>
    <w:rsid w:val="008B286A"/>
    <w:rsid w:val="008C657D"/>
    <w:rsid w:val="008D6DAA"/>
    <w:rsid w:val="008D791B"/>
    <w:rsid w:val="008E5660"/>
    <w:rsid w:val="008F1620"/>
    <w:rsid w:val="008F69E9"/>
    <w:rsid w:val="0090308B"/>
    <w:rsid w:val="00907D77"/>
    <w:rsid w:val="00924506"/>
    <w:rsid w:val="00930692"/>
    <w:rsid w:val="00933B62"/>
    <w:rsid w:val="00946AB3"/>
    <w:rsid w:val="00947E6D"/>
    <w:rsid w:val="009620BF"/>
    <w:rsid w:val="0097574C"/>
    <w:rsid w:val="009C3066"/>
    <w:rsid w:val="009C5B76"/>
    <w:rsid w:val="009D03FC"/>
    <w:rsid w:val="009D29D4"/>
    <w:rsid w:val="009D5905"/>
    <w:rsid w:val="009D68FB"/>
    <w:rsid w:val="009F190C"/>
    <w:rsid w:val="00A11911"/>
    <w:rsid w:val="00A13713"/>
    <w:rsid w:val="00A15B7B"/>
    <w:rsid w:val="00A318B8"/>
    <w:rsid w:val="00A44A24"/>
    <w:rsid w:val="00A86B5C"/>
    <w:rsid w:val="00A979A8"/>
    <w:rsid w:val="00AA1745"/>
    <w:rsid w:val="00AD1C80"/>
    <w:rsid w:val="00AD264F"/>
    <w:rsid w:val="00AD3E6D"/>
    <w:rsid w:val="00AF1F59"/>
    <w:rsid w:val="00B0024D"/>
    <w:rsid w:val="00B0436C"/>
    <w:rsid w:val="00B04564"/>
    <w:rsid w:val="00B05545"/>
    <w:rsid w:val="00B24B65"/>
    <w:rsid w:val="00B47955"/>
    <w:rsid w:val="00B544A6"/>
    <w:rsid w:val="00B631C7"/>
    <w:rsid w:val="00B90DDC"/>
    <w:rsid w:val="00B91D1F"/>
    <w:rsid w:val="00B97076"/>
    <w:rsid w:val="00BA35EC"/>
    <w:rsid w:val="00BB4D5B"/>
    <w:rsid w:val="00BE1E51"/>
    <w:rsid w:val="00BE3489"/>
    <w:rsid w:val="00C11873"/>
    <w:rsid w:val="00C34781"/>
    <w:rsid w:val="00C46F8E"/>
    <w:rsid w:val="00C505E3"/>
    <w:rsid w:val="00C51CC2"/>
    <w:rsid w:val="00C765D6"/>
    <w:rsid w:val="00C87B7E"/>
    <w:rsid w:val="00CA0961"/>
    <w:rsid w:val="00CA4079"/>
    <w:rsid w:val="00CC3099"/>
    <w:rsid w:val="00CF6B97"/>
    <w:rsid w:val="00D00556"/>
    <w:rsid w:val="00D02295"/>
    <w:rsid w:val="00D038C6"/>
    <w:rsid w:val="00D10EFE"/>
    <w:rsid w:val="00D129EC"/>
    <w:rsid w:val="00D14408"/>
    <w:rsid w:val="00D35C33"/>
    <w:rsid w:val="00D51F8F"/>
    <w:rsid w:val="00D54820"/>
    <w:rsid w:val="00DB54F4"/>
    <w:rsid w:val="00DC0B60"/>
    <w:rsid w:val="00E02A4A"/>
    <w:rsid w:val="00E23CBA"/>
    <w:rsid w:val="00E46F6D"/>
    <w:rsid w:val="00E50399"/>
    <w:rsid w:val="00E561CD"/>
    <w:rsid w:val="00E72AD5"/>
    <w:rsid w:val="00E81244"/>
    <w:rsid w:val="00E95795"/>
    <w:rsid w:val="00EC514D"/>
    <w:rsid w:val="00ED0B05"/>
    <w:rsid w:val="00EF7FBC"/>
    <w:rsid w:val="00F0242F"/>
    <w:rsid w:val="00F05252"/>
    <w:rsid w:val="00F06F47"/>
    <w:rsid w:val="00F40BC2"/>
    <w:rsid w:val="00F549E4"/>
    <w:rsid w:val="00F6086F"/>
    <w:rsid w:val="00F73DF8"/>
    <w:rsid w:val="00F94352"/>
    <w:rsid w:val="00FA70C4"/>
    <w:rsid w:val="00FE5CFA"/>
    <w:rsid w:val="00FE6F02"/>
    <w:rsid w:val="04594615"/>
    <w:rsid w:val="04E23328"/>
    <w:rsid w:val="0B776E1E"/>
    <w:rsid w:val="0DC161D1"/>
    <w:rsid w:val="0E034CF4"/>
    <w:rsid w:val="0E1A4249"/>
    <w:rsid w:val="10D5646A"/>
    <w:rsid w:val="155033BC"/>
    <w:rsid w:val="169F1079"/>
    <w:rsid w:val="17BC6DBB"/>
    <w:rsid w:val="19CC0F68"/>
    <w:rsid w:val="1CED1726"/>
    <w:rsid w:val="1CF479C5"/>
    <w:rsid w:val="1D12692E"/>
    <w:rsid w:val="20F8324E"/>
    <w:rsid w:val="215A451A"/>
    <w:rsid w:val="245653A7"/>
    <w:rsid w:val="25D647F8"/>
    <w:rsid w:val="264E5774"/>
    <w:rsid w:val="268A6F77"/>
    <w:rsid w:val="2D6327A4"/>
    <w:rsid w:val="311752EA"/>
    <w:rsid w:val="37842BC5"/>
    <w:rsid w:val="38F613FD"/>
    <w:rsid w:val="39776DA8"/>
    <w:rsid w:val="3CAF71E1"/>
    <w:rsid w:val="3D2E4D81"/>
    <w:rsid w:val="3D540613"/>
    <w:rsid w:val="3FB84B01"/>
    <w:rsid w:val="41750872"/>
    <w:rsid w:val="422E312E"/>
    <w:rsid w:val="496C1203"/>
    <w:rsid w:val="4B2109BF"/>
    <w:rsid w:val="4D981DA3"/>
    <w:rsid w:val="4F50502B"/>
    <w:rsid w:val="51F16AF6"/>
    <w:rsid w:val="543C16DA"/>
    <w:rsid w:val="594A1E7B"/>
    <w:rsid w:val="5A1A4518"/>
    <w:rsid w:val="5A5B2AD6"/>
    <w:rsid w:val="5C3C0115"/>
    <w:rsid w:val="5D4903B4"/>
    <w:rsid w:val="5DA27430"/>
    <w:rsid w:val="5F7A6F67"/>
    <w:rsid w:val="62777E59"/>
    <w:rsid w:val="65E14DC5"/>
    <w:rsid w:val="66D00AEA"/>
    <w:rsid w:val="70C404A4"/>
    <w:rsid w:val="72B92879"/>
    <w:rsid w:val="75220020"/>
    <w:rsid w:val="75FE45EA"/>
    <w:rsid w:val="78542BE7"/>
    <w:rsid w:val="79703A50"/>
    <w:rsid w:val="7A652F2A"/>
    <w:rsid w:val="7AF82F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qFormat="1" w:unhideWhenUsed="0" w:uiPriority="0"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widowControl/>
      <w:jc w:val="left"/>
      <w:outlineLvl w:val="1"/>
    </w:pPr>
    <w:rPr>
      <w:rFonts w:ascii="宋体" w:hAnsi="宋体" w:cs="宋体"/>
      <w:b/>
      <w:bCs/>
      <w:kern w:val="0"/>
      <w:sz w:val="36"/>
      <w:szCs w:val="36"/>
    </w:rPr>
  </w:style>
  <w:style w:type="paragraph" w:styleId="3">
    <w:name w:val="heading 4"/>
    <w:basedOn w:val="1"/>
    <w:next w:val="1"/>
    <w:link w:val="12"/>
    <w:qFormat/>
    <w:uiPriority w:val="99"/>
    <w:pPr>
      <w:widowControl/>
      <w:jc w:val="left"/>
      <w:outlineLvl w:val="3"/>
    </w:pPr>
    <w:rPr>
      <w:rFonts w:ascii="宋体" w:hAnsi="宋体" w:cs="宋体"/>
      <w:b/>
      <w:bCs/>
      <w:kern w:val="0"/>
      <w:sz w:val="24"/>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qFormat/>
    <w:locked/>
    <w:uiPriority w:val="0"/>
    <w:pPr>
      <w:ind w:firstLine="640" w:firstLineChars="200"/>
    </w:pPr>
    <w:rPr>
      <w:rFonts w:ascii="仿宋_GB2312" w:eastAsia="仿宋_GB2312"/>
      <w:sz w:val="32"/>
    </w:rPr>
  </w:style>
  <w:style w:type="paragraph" w:styleId="5">
    <w:name w:val="Date"/>
    <w:basedOn w:val="1"/>
    <w:next w:val="1"/>
    <w:link w:val="16"/>
    <w:unhideWhenUsed/>
    <w:qFormat/>
    <w:locked/>
    <w:uiPriority w:val="0"/>
    <w:pPr>
      <w:ind w:left="100" w:leftChars="2500"/>
    </w:pPr>
  </w:style>
  <w:style w:type="paragraph" w:styleId="6">
    <w:name w:val="Balloon Text"/>
    <w:basedOn w:val="1"/>
    <w:link w:val="13"/>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2 Char"/>
    <w:basedOn w:val="9"/>
    <w:link w:val="2"/>
    <w:semiHidden/>
    <w:qFormat/>
    <w:locked/>
    <w:uiPriority w:val="99"/>
    <w:rPr>
      <w:rFonts w:ascii="Cambria" w:hAnsi="Cambria" w:eastAsia="宋体" w:cs="Times New Roman"/>
      <w:b/>
      <w:bCs/>
      <w:sz w:val="32"/>
      <w:szCs w:val="32"/>
    </w:rPr>
  </w:style>
  <w:style w:type="character" w:customStyle="1" w:styleId="12">
    <w:name w:val="标题 4 Char"/>
    <w:basedOn w:val="9"/>
    <w:link w:val="3"/>
    <w:semiHidden/>
    <w:qFormat/>
    <w:locked/>
    <w:uiPriority w:val="99"/>
    <w:rPr>
      <w:rFonts w:ascii="Cambria" w:hAnsi="Cambria" w:eastAsia="宋体" w:cs="Times New Roman"/>
      <w:b/>
      <w:bCs/>
      <w:sz w:val="28"/>
      <w:szCs w:val="28"/>
    </w:rPr>
  </w:style>
  <w:style w:type="character" w:customStyle="1" w:styleId="13">
    <w:name w:val="批注框文本 Char"/>
    <w:basedOn w:val="9"/>
    <w:link w:val="6"/>
    <w:semiHidden/>
    <w:qFormat/>
    <w:locked/>
    <w:uiPriority w:val="99"/>
    <w:rPr>
      <w:rFonts w:ascii="Times New Roman" w:hAnsi="Times New Roman" w:cs="Times New Roman"/>
      <w:sz w:val="2"/>
    </w:rPr>
  </w:style>
  <w:style w:type="character" w:customStyle="1" w:styleId="14">
    <w:name w:val="页眉 Char"/>
    <w:basedOn w:val="9"/>
    <w:link w:val="8"/>
    <w:semiHidden/>
    <w:qFormat/>
    <w:locked/>
    <w:uiPriority w:val="99"/>
    <w:rPr>
      <w:rFonts w:ascii="Times New Roman" w:hAnsi="Times New Roman" w:cs="Times New Roman"/>
      <w:sz w:val="18"/>
      <w:szCs w:val="18"/>
    </w:rPr>
  </w:style>
  <w:style w:type="character" w:customStyle="1" w:styleId="15">
    <w:name w:val="页脚 Char"/>
    <w:basedOn w:val="9"/>
    <w:link w:val="7"/>
    <w:semiHidden/>
    <w:qFormat/>
    <w:locked/>
    <w:uiPriority w:val="99"/>
    <w:rPr>
      <w:rFonts w:ascii="Times New Roman" w:hAnsi="Times New Roman" w:cs="Times New Roman"/>
      <w:sz w:val="18"/>
      <w:szCs w:val="18"/>
    </w:rPr>
  </w:style>
  <w:style w:type="character" w:customStyle="1" w:styleId="16">
    <w:name w:val="日期 Char"/>
    <w:basedOn w:val="9"/>
    <w:link w:val="5"/>
    <w:semiHidden/>
    <w:qFormat/>
    <w:uiPriority w:val="0"/>
    <w:rPr>
      <w:rFonts w:ascii="Times New Roman" w:hAnsi="Times New Roman" w:cs="Times New Roman"/>
      <w:kern w:val="2"/>
      <w:sz w:val="21"/>
      <w:szCs w:val="24"/>
    </w:rPr>
  </w:style>
  <w:style w:type="paragraph" w:customStyle="1" w:styleId="17">
    <w:name w:val="List Paragraph"/>
    <w:basedOn w:val="1"/>
    <w:unhideWhenUsed/>
    <w:qFormat/>
    <w:uiPriority w:val="99"/>
    <w:pPr>
      <w:ind w:firstLine="420" w:firstLineChars="200"/>
    </w:pPr>
  </w:style>
  <w:style w:type="paragraph" w:customStyle="1" w:styleId="18">
    <w:name w:val="No Spacing"/>
    <w:qFormat/>
    <w:uiPriority w:val="1"/>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836</Words>
  <Characters>873</Characters>
  <Lines>7</Lines>
  <Paragraphs>2</Paragraphs>
  <TotalTime>0</TotalTime>
  <ScaleCrop>false</ScaleCrop>
  <LinksUpToDate>false</LinksUpToDate>
  <CharactersWithSpaces>897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2020-07-20T02:58:00Z</dcterms:created>
  <dc:creator>Administrator</dc:creator>
  <cp:lastModifiedBy>张雷</cp:lastModifiedBy>
  <cp:lastPrinted>2022-04-11T03:38:00Z</cp:lastPrinted>
  <dcterms:modified xsi:type="dcterms:W3CDTF">2024-03-29T01:37:42Z</dcterms:modified>
  <dc:title>开县文物管理所文件                                            开文物〔2016〕4号                 签发人：王永威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D08D307CD21443EC976E6D404301ACA6</vt:lpwstr>
  </property>
</Properties>
</file>