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2000" w:lineRule="exact"/>
        <w:ind w:left="0" w:leftChars="0" w:firstLine="0" w:firstLineChars="0"/>
        <w:jc w:val="distribute"/>
        <w:textAlignment w:val="auto"/>
        <w:rPr>
          <w:rFonts w:hint="default" w:ascii="Times New Roman" w:hAnsi="Times New Roman" w:eastAsia="方正小标宋_GBK" w:cs="Times New Roman"/>
          <w:color w:val="FF0000"/>
          <w:spacing w:val="-34"/>
          <w:w w:val="48"/>
          <w:sz w:val="144"/>
          <w:szCs w:val="56"/>
          <w:lang w:eastAsia="zh-CN"/>
        </w:rPr>
      </w:pPr>
    </w:p>
    <w:p>
      <w:pPr>
        <w:keepNext w:val="0"/>
        <w:keepLines w:val="0"/>
        <w:pageBreakBefore w:val="0"/>
        <w:widowControl w:val="0"/>
        <w:kinsoku/>
        <w:wordWrap/>
        <w:overflowPunct/>
        <w:topLinePunct w:val="0"/>
        <w:autoSpaceDE/>
        <w:autoSpaceDN/>
        <w:bidi w:val="0"/>
        <w:adjustRightInd/>
        <w:snapToGrid/>
        <w:spacing w:line="2000" w:lineRule="exact"/>
        <w:ind w:left="0" w:leftChars="0" w:firstLine="0" w:firstLineChars="0"/>
        <w:jc w:val="distribute"/>
        <w:textAlignment w:val="auto"/>
        <w:rPr>
          <w:rFonts w:hint="default" w:ascii="Times New Roman" w:hAnsi="Times New Roman" w:eastAsia="方正小标宋_GBK" w:cs="Times New Roman"/>
          <w:sz w:val="44"/>
          <w:szCs w:val="32"/>
          <w:lang w:eastAsia="zh-CN"/>
        </w:rPr>
      </w:pPr>
      <w:r>
        <w:rPr>
          <w:rFonts w:hint="default" w:ascii="Times New Roman" w:hAnsi="Times New Roman" w:eastAsia="方正小标宋_GBK" w:cs="Times New Roman"/>
          <w:color w:val="FF0000"/>
          <w:spacing w:val="-34"/>
          <w:w w:val="48"/>
          <w:sz w:val="144"/>
          <w:szCs w:val="56"/>
          <w:lang w:eastAsia="zh-CN"/>
        </w:rPr>
        <w:t>重庆市开州区文学艺术界联合会</w:t>
      </w:r>
    </w:p>
    <w:p>
      <w:pPr>
        <w:widowControl w:val="0"/>
        <w:tabs>
          <w:tab w:val="left" w:pos="8190"/>
          <w:tab w:val="left" w:pos="8400"/>
        </w:tabs>
        <w:spacing w:line="600" w:lineRule="exact"/>
        <w:ind w:firstLine="320" w:firstLineChars="100"/>
        <w:jc w:val="center"/>
        <w:rPr>
          <w:rFonts w:hint="default" w:ascii="Times New Roman" w:hAnsi="Times New Roman" w:eastAsia="方正仿宋_GBK" w:cs="Times New Roman"/>
          <w:sz w:val="32"/>
          <w:szCs w:val="32"/>
        </w:rPr>
      </w:pPr>
    </w:p>
    <w:p>
      <w:pPr>
        <w:widowControl w:val="0"/>
        <w:tabs>
          <w:tab w:val="left" w:pos="8190"/>
          <w:tab w:val="left" w:pos="8400"/>
        </w:tabs>
        <w:spacing w:line="600" w:lineRule="exact"/>
        <w:ind w:firstLine="320" w:firstLineChars="100"/>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开</w:t>
      </w:r>
      <w:r>
        <w:rPr>
          <w:rFonts w:hint="default" w:ascii="Times New Roman" w:hAnsi="Times New Roman" w:eastAsia="方正仿宋_GBK" w:cs="Times New Roman"/>
          <w:sz w:val="32"/>
          <w:szCs w:val="32"/>
          <w:lang w:eastAsia="zh-CN"/>
        </w:rPr>
        <w:t>州文联</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rPr>
        <w:t>号</w:t>
      </w:r>
    </w:p>
    <w:p>
      <w:pPr>
        <w:widowControl w:val="0"/>
        <w:spacing w:line="600" w:lineRule="exact"/>
        <w:ind w:left="0" w:leftChars="0" w:firstLine="4160" w:firstLineChars="800"/>
        <w:jc w:val="both"/>
        <w:rPr>
          <w:rFonts w:hint="default" w:ascii="Times New Roman" w:hAnsi="Times New Roman" w:eastAsia="方正小标宋_GBK" w:cs="Times New Roman"/>
          <w:sz w:val="44"/>
          <w:szCs w:val="32"/>
          <w:lang w:eastAsia="zh-CN"/>
        </w:rPr>
      </w:pPr>
      <w:r>
        <w:rPr>
          <w:rFonts w:hint="default" w:ascii="Times New Roman" w:hAnsi="Times New Roman" w:cs="Times New Roman"/>
          <w:color w:val="FF3300"/>
          <w:sz w:val="52"/>
          <w:szCs w:val="52"/>
        </w:rPr>
        <mc:AlternateContent>
          <mc:Choice Requires="wps">
            <w:drawing>
              <wp:anchor distT="0" distB="0" distL="114300" distR="114300" simplePos="0" relativeHeight="251660288" behindDoc="0" locked="0" layoutInCell="1" allowOverlap="1">
                <wp:simplePos x="0" y="0"/>
                <wp:positionH relativeFrom="column">
                  <wp:posOffset>3022600</wp:posOffset>
                </wp:positionH>
                <wp:positionV relativeFrom="paragraph">
                  <wp:posOffset>184150</wp:posOffset>
                </wp:positionV>
                <wp:extent cx="2598420" cy="0"/>
                <wp:effectExtent l="0" t="13970" r="7620" b="16510"/>
                <wp:wrapNone/>
                <wp:docPr id="3" name="直接连接符 3"/>
                <wp:cNvGraphicFramePr/>
                <a:graphic xmlns:a="http://schemas.openxmlformats.org/drawingml/2006/main">
                  <a:graphicData uri="http://schemas.microsoft.com/office/word/2010/wordprocessingShape">
                    <wps:wsp>
                      <wps:cNvCnPr/>
                      <wps:spPr>
                        <a:xfrm>
                          <a:off x="0" y="0"/>
                          <a:ext cx="259842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8pt;margin-top:14.5pt;height:0pt;width:204.6pt;z-index:251660288;mso-width-relative:page;mso-height-relative:page;" filled="f" stroked="t" coordsize="21600,21600" o:gfxdata="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I7HAdcAAAAJAQAADwAA&#10;AAAAAAABACAAAAAiAAAAZHJzL2Rvd25yZXYueG1sUEsBAhQAFAAAAAgAh07iQKcBIw/eAQAAlwMA&#10;AA4AAAAAAAAAAQAgAAAAJgEAAGRycy9lMm9Eb2MueG1sUEsFBgAAAAAGAAYAWQEAAHYFAAAAAA==&#10;">
                <v:fill on="f" focussize="0,0"/>
                <v:stroke weight="2.25pt" color="#FF0000" joinstyle="round"/>
                <v:imagedata o:title=""/>
                <o:lock v:ext="edit" aspectratio="f"/>
              </v:line>
            </w:pict>
          </mc:Fallback>
        </mc:AlternateContent>
      </w:r>
      <w:r>
        <w:rPr>
          <w:rFonts w:hint="default" w:ascii="Times New Roman" w:hAnsi="Times New Roman" w:cs="Times New Roman"/>
          <w:color w:val="FF3300"/>
          <w:sz w:val="52"/>
          <w:szCs w:val="5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194945</wp:posOffset>
                </wp:positionV>
                <wp:extent cx="2536190" cy="0"/>
                <wp:effectExtent l="0" t="13970" r="8890" b="16510"/>
                <wp:wrapNone/>
                <wp:docPr id="2" name="直接连接符 2"/>
                <wp:cNvGraphicFramePr/>
                <a:graphic xmlns:a="http://schemas.openxmlformats.org/drawingml/2006/main">
                  <a:graphicData uri="http://schemas.microsoft.com/office/word/2010/wordprocessingShape">
                    <wps:wsp>
                      <wps:cNvCnPr/>
                      <wps:spPr>
                        <a:xfrm>
                          <a:off x="0" y="0"/>
                          <a:ext cx="253619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15.35pt;height:0pt;width:199.7pt;z-index:251659264;mso-width-relative:page;mso-height-relative:page;" filled="f" stroked="t" coordsize="21600,21600" o:gfxdata="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8qnBG1wAAAAgBAAAPAAAA&#10;AAAAAAEAIAAAACIAAABkcnMvZG93bnJldi54bWxQSwECFAAUAAAACACHTuJARhmaG90BAACXAwAA&#10;DgAAAAAAAAABACAAAAAmAQAAZHJzL2Uyb0RvYy54bWxQSwUGAAAAAAYABgBZAQAAdQUAAAAA&#10;">
                <v:fill on="f" focussize="0,0"/>
                <v:stroke weight="2.25pt" color="#FF0000" joinstyle="round"/>
                <v:imagedata o:title=""/>
                <o:lock v:ext="edit" aspectratio="f"/>
              </v:line>
            </w:pict>
          </mc:Fallback>
        </mc:AlternateContent>
      </w:r>
      <w:r>
        <w:rPr>
          <w:rFonts w:hint="default" w:ascii="Times New Roman" w:hAnsi="Times New Roman" w:eastAsia="方正小标宋_GBK" w:cs="Times New Roman"/>
          <w:b/>
          <w:color w:val="FF3300"/>
          <w:sz w:val="52"/>
          <w:szCs w:val="52"/>
        </w:rPr>
        <w:t>★</w:t>
      </w:r>
    </w:p>
    <w:p>
      <w:pPr>
        <w:widowControl w:val="0"/>
        <w:spacing w:line="600" w:lineRule="exact"/>
        <w:ind w:left="0" w:leftChars="0" w:firstLine="0" w:firstLineChars="0"/>
        <w:jc w:val="both"/>
        <w:rPr>
          <w:rFonts w:hint="default" w:ascii="Times New Roman" w:hAnsi="Times New Roman" w:eastAsia="方正小标宋_GBK" w:cs="Times New Roman"/>
          <w:sz w:val="44"/>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ind w:left="0" w:leftChars="0" w:firstLine="0" w:firstLineChars="0"/>
        <w:jc w:val="center"/>
        <w:textAlignment w:val="auto"/>
        <w:rPr>
          <w:rFonts w:hint="default" w:ascii="Times New Roman" w:hAnsi="Times New Roman" w:eastAsia="方正小标宋_GBK" w:cs="Times New Roman"/>
          <w:sz w:val="44"/>
          <w:szCs w:val="36"/>
          <w:lang w:val="en-US" w:eastAsia="zh-CN"/>
        </w:rPr>
      </w:pPr>
      <w:r>
        <w:rPr>
          <w:rFonts w:hint="default" w:ascii="Times New Roman" w:hAnsi="Times New Roman" w:eastAsia="方正小标宋_GBK" w:cs="Times New Roman"/>
          <w:sz w:val="44"/>
          <w:szCs w:val="36"/>
          <w:lang w:val="en-US" w:eastAsia="zh-CN"/>
        </w:rPr>
        <w:t>重庆市开州区文学艺术界联合会</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jc w:val="both"/>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关于2024年部门预算情况公开的公告</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p>
    <w:p>
      <w:pPr>
        <w:pStyle w:val="3"/>
        <w:keepNext w:val="0"/>
        <w:keepLines w:val="0"/>
        <w:pageBreakBefore w:val="0"/>
        <w:widowControl w:val="0"/>
        <w:kinsoku/>
        <w:wordWrap/>
        <w:overflowPunct/>
        <w:topLinePunct w:val="0"/>
        <w:autoSpaceDE/>
        <w:autoSpaceDN/>
        <w:bidi w:val="0"/>
        <w:adjustRightInd/>
        <w:snapToGrid/>
        <w:spacing w:after="0" w:afterLines="0" w:line="594"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按照有关财政预算公开的部署和要求，依据《中华人民共和国政府信息公开条例》（国务院令第492号）和重庆市开州区财政局《关于批复2024年部门预算的通知》（</w:t>
      </w:r>
      <w:r>
        <w:rPr>
          <w:rFonts w:hint="default" w:ascii="Times New Roman" w:hAnsi="Times New Roman" w:eastAsia="方正仿宋_GBK" w:cs="Times New Roman"/>
          <w:color w:val="000000"/>
          <w:sz w:val="32"/>
          <w:szCs w:val="32"/>
        </w:rPr>
        <w:t>开州财教发〔2024〕7号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b w:val="0"/>
          <w:bCs w:val="0"/>
          <w:sz w:val="32"/>
          <w:szCs w:val="32"/>
          <w:lang w:val="en-US" w:eastAsia="zh-CN"/>
        </w:rPr>
        <w:t>重庆市开州区文学艺术界联合会</w:t>
      </w:r>
      <w:r>
        <w:rPr>
          <w:rFonts w:hint="default" w:ascii="Times New Roman" w:hAnsi="Times New Roman" w:eastAsia="方正仿宋_GBK" w:cs="Times New Roman"/>
          <w:sz w:val="32"/>
          <w:szCs w:val="32"/>
        </w:rPr>
        <w:t>2024年部门预算批复情况公开如下：</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黑体_GBK" w:cs="Times New Roman"/>
          <w:sz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36"/>
          <w:szCs w:val="36"/>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第一部分：2024年部门预算情况说明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cs="Times New Roman"/>
        </w:rPr>
      </w:pPr>
      <w:r>
        <w:rPr>
          <w:rFonts w:hint="default" w:ascii="Times New Roman" w:hAnsi="Times New Roman" w:eastAsia="方正黑体_GBK" w:cs="Times New Roman"/>
          <w:sz w:val="32"/>
          <w:szCs w:val="32"/>
        </w:rPr>
        <w:t>第二部分：2024年部门预算公开报表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b w:val="0"/>
          <w:bCs w:val="0"/>
          <w:sz w:val="32"/>
          <w:szCs w:val="32"/>
          <w:lang w:val="en-US" w:eastAsia="zh-CN"/>
        </w:rPr>
        <w:t>重庆市开州区文学艺术界联合会</w:t>
      </w:r>
      <w:r>
        <w:rPr>
          <w:rFonts w:hint="default" w:ascii="Times New Roman" w:hAnsi="Times New Roman" w:eastAsia="方正仿宋_GBK" w:cs="Times New Roman"/>
          <w:sz w:val="32"/>
          <w:szCs w:val="32"/>
        </w:rPr>
        <w:t>收支预算总表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b w:val="0"/>
          <w:bCs w:val="0"/>
          <w:sz w:val="32"/>
          <w:szCs w:val="32"/>
          <w:lang w:val="en-US" w:eastAsia="zh-CN"/>
        </w:rPr>
        <w:t>重庆市开州区文学艺术界联合会</w:t>
      </w:r>
      <w:r>
        <w:rPr>
          <w:rFonts w:hint="default" w:ascii="Times New Roman" w:hAnsi="Times New Roman" w:eastAsia="方正仿宋_GBK" w:cs="Times New Roman"/>
          <w:sz w:val="32"/>
          <w:szCs w:val="32"/>
        </w:rPr>
        <w:t>收入总表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b w:val="0"/>
          <w:bCs w:val="0"/>
          <w:sz w:val="32"/>
          <w:szCs w:val="32"/>
          <w:lang w:val="en-US" w:eastAsia="zh-CN"/>
        </w:rPr>
        <w:t>重庆市开州区文学艺术界联合会</w:t>
      </w:r>
      <w:r>
        <w:rPr>
          <w:rFonts w:hint="default" w:ascii="Times New Roman" w:hAnsi="Times New Roman" w:eastAsia="方正仿宋_GBK" w:cs="Times New Roman"/>
          <w:sz w:val="32"/>
          <w:szCs w:val="32"/>
        </w:rPr>
        <w:t>本年支出预算总表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b w:val="0"/>
          <w:bCs w:val="0"/>
          <w:sz w:val="32"/>
          <w:szCs w:val="32"/>
          <w:lang w:val="en-US" w:eastAsia="zh-CN"/>
        </w:rPr>
        <w:t>重庆市开州区文学艺术界联合会</w:t>
      </w:r>
      <w:r>
        <w:rPr>
          <w:rFonts w:hint="default" w:ascii="Times New Roman" w:hAnsi="Times New Roman" w:eastAsia="方正仿宋_GBK" w:cs="Times New Roman"/>
          <w:sz w:val="32"/>
          <w:szCs w:val="32"/>
        </w:rPr>
        <w:t>财政拨款收支预算总表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b w:val="0"/>
          <w:bCs w:val="0"/>
          <w:sz w:val="32"/>
          <w:szCs w:val="32"/>
          <w:lang w:val="en-US" w:eastAsia="zh-CN"/>
        </w:rPr>
        <w:t>重庆市开州区文学艺术界联合会</w:t>
      </w:r>
      <w:r>
        <w:rPr>
          <w:rFonts w:hint="default" w:ascii="Times New Roman" w:hAnsi="Times New Roman" w:eastAsia="方正仿宋_GBK" w:cs="Times New Roman"/>
          <w:sz w:val="32"/>
          <w:szCs w:val="32"/>
        </w:rPr>
        <w:t>本年一般公共预算支出预算表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b w:val="0"/>
          <w:bCs w:val="0"/>
          <w:sz w:val="32"/>
          <w:szCs w:val="32"/>
          <w:lang w:val="en-US" w:eastAsia="zh-CN"/>
        </w:rPr>
        <w:t>重庆市开州区文学艺术界联合会</w:t>
      </w:r>
      <w:r>
        <w:rPr>
          <w:rFonts w:hint="default" w:ascii="Times New Roman" w:hAnsi="Times New Roman" w:eastAsia="方正仿宋_GBK" w:cs="Times New Roman"/>
          <w:sz w:val="32"/>
          <w:szCs w:val="32"/>
        </w:rPr>
        <w:t>一般公共预算基本支出预算表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b w:val="0"/>
          <w:bCs w:val="0"/>
          <w:sz w:val="32"/>
          <w:szCs w:val="32"/>
          <w:lang w:val="en-US" w:eastAsia="zh-CN"/>
        </w:rPr>
        <w:t>重庆市开州区文学艺术界联合会</w:t>
      </w:r>
      <w:r>
        <w:rPr>
          <w:rFonts w:hint="default" w:ascii="Times New Roman" w:hAnsi="Times New Roman" w:eastAsia="方正仿宋_GBK" w:cs="Times New Roman"/>
          <w:sz w:val="32"/>
          <w:szCs w:val="32"/>
        </w:rPr>
        <w:t>一般公共预算“三公”经费支出预算表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b w:val="0"/>
          <w:bCs w:val="0"/>
          <w:sz w:val="32"/>
          <w:szCs w:val="32"/>
          <w:lang w:val="en-US" w:eastAsia="zh-CN"/>
        </w:rPr>
        <w:t>重庆市开州区文学艺术界联合会</w:t>
      </w:r>
      <w:r>
        <w:rPr>
          <w:rFonts w:hint="default" w:ascii="Times New Roman" w:hAnsi="Times New Roman" w:eastAsia="方正仿宋_GBK" w:cs="Times New Roman"/>
          <w:sz w:val="32"/>
          <w:szCs w:val="32"/>
        </w:rPr>
        <w:t>政府性基金预算支出预算表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b w:val="0"/>
          <w:bCs w:val="0"/>
          <w:sz w:val="32"/>
          <w:szCs w:val="32"/>
          <w:lang w:val="en-US" w:eastAsia="zh-CN"/>
        </w:rPr>
        <w:t>重庆市开州区文学艺术界联合会</w:t>
      </w:r>
      <w:r>
        <w:rPr>
          <w:rFonts w:hint="default" w:ascii="Times New Roman" w:hAnsi="Times New Roman" w:eastAsia="方正仿宋_GBK" w:cs="Times New Roman"/>
          <w:sz w:val="32"/>
          <w:szCs w:val="32"/>
        </w:rPr>
        <w:t>国有资本经营预算支出预算表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b w:val="0"/>
          <w:bCs w:val="0"/>
          <w:sz w:val="32"/>
          <w:szCs w:val="32"/>
          <w:lang w:val="en-US" w:eastAsia="zh-CN"/>
        </w:rPr>
        <w:t>重庆市开州区文学艺术界联合会</w:t>
      </w:r>
      <w:r>
        <w:rPr>
          <w:rFonts w:hint="default" w:ascii="Times New Roman" w:hAnsi="Times New Roman" w:eastAsia="方正仿宋_GBK" w:cs="Times New Roman"/>
          <w:sz w:val="32"/>
          <w:szCs w:val="32"/>
        </w:rPr>
        <w:t>项目支出表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36"/>
          <w:szCs w:val="36"/>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第一部分：2024年部门预算情况说明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jc w:val="center"/>
        <w:textAlignment w:val="auto"/>
        <w:rPr>
          <w:rFonts w:hint="default" w:ascii="Times New Roman" w:hAnsi="Times New Roman" w:eastAsia="华文中宋"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b w:val="0"/>
          <w:bCs w:val="0"/>
          <w:sz w:val="32"/>
          <w:lang w:val="en-US" w:eastAsia="zh-CN"/>
        </w:rPr>
      </w:pPr>
      <w:r>
        <w:rPr>
          <w:rFonts w:hint="default" w:ascii="Times New Roman" w:hAnsi="Times New Roman" w:eastAsia="方正楷体_GBK" w:cs="Times New Roman"/>
          <w:b w:val="0"/>
          <w:bCs w:val="0"/>
          <w:sz w:val="32"/>
          <w:lang w:eastAsia="zh-CN"/>
        </w:rPr>
        <w:t>（</w:t>
      </w:r>
      <w:r>
        <w:rPr>
          <w:rFonts w:hint="default" w:ascii="Times New Roman" w:hAnsi="Times New Roman" w:eastAsia="方正楷体_GBK" w:cs="Times New Roman"/>
          <w:b w:val="0"/>
          <w:bCs w:val="0"/>
          <w:sz w:val="32"/>
          <w:lang w:val="en-US" w:eastAsia="zh-CN"/>
        </w:rPr>
        <w:t>一</w:t>
      </w:r>
      <w:r>
        <w:rPr>
          <w:rFonts w:hint="default" w:ascii="Times New Roman" w:hAnsi="Times New Roman" w:eastAsia="方正楷体_GBK" w:cs="Times New Roman"/>
          <w:b w:val="0"/>
          <w:bCs w:val="0"/>
          <w:sz w:val="32"/>
          <w:lang w:eastAsia="zh-CN"/>
        </w:rPr>
        <w:t>）</w:t>
      </w:r>
      <w:r>
        <w:rPr>
          <w:rFonts w:hint="default" w:ascii="Times New Roman" w:hAnsi="Times New Roman" w:eastAsia="方正楷体_GBK" w:cs="Times New Roman"/>
          <w:b w:val="0"/>
          <w:bCs w:val="0"/>
          <w:sz w:val="32"/>
          <w:lang w:val="en-US" w:eastAsia="zh-CN"/>
        </w:rPr>
        <w:t>职能职责</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坚决贯彻党的意志和主张，执行党的文艺方针、政策，坚定不移走中国特色社会主义文艺发展道路，切实增强文艺工作的政治性和文联组织的先进性群众性。</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切实承担引导广大文艺工作者听党话、跟党走的政治任务，把文艺工作者最广泛最紧密地团结在党的周围，完善工作机制，协调服务发展，激发文艺界创新活力，为建设美丽富饶生态开州贡献文艺力量。</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充分发挥文艺引领时代风尚、鼓舞人民前进、推动社会进步的作用，围绕区委区政府中心大局，弘扬社会主义核心价值观，引导广大文艺工作者以人民为中心，为人民抒情，为时代放歌。</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按照区委要求，在重庆市文联的指导下，依照有关法律规定和《中国文学艺术界联合会章程》，贯彻执行区文联代表大会确定的目标任务和作出的决议。指导区级文艺家协会和全区文艺组织认真履行工作职能，开展文艺工作。</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把握“团结引导、联络协调、服务管理、自律维权”文艺工作新要求，拓展完善新职责，扩大服务范围，抓基础强覆盖惠民生为重点，将更加广泛的文艺工作者纳入工作和联系范围。</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创新文艺活动开展和工作评价机制，加强对新领域新组织的有效覆盖，打造文联工作服务品牌，增强文联组织的社会动员力。</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组织重大文艺活动；开展创作评论、学术交流；组织广大文艺工作者深入社会生活，加强艺术实践；培养优秀文艺人才，创作文艺精品；协调有关部门组织实施各类文艺评奖和文艺创作项目资助；开展知识产权保护和行业自律工作。</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加强同全国、全市兄弟区县文艺界的联系和交流。推动优秀文艺作品走出去，以文艺形式讲好开州故事、树立开州形象、提升文化软实力。</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动员组织广大文艺工作者和文联组织参与社会事务、维护公共利益、开展志愿服务、文艺惠民、打造品牌活动、创作文艺精品，促进文艺繁荣发展，发挥维护社会和谐稳定的作用。按照法定程序承担相应社会管理服务职能。</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负责文联及所属文艺协会组织机构和干部队伍建设，加强文艺活动阵地、创作基地和宣传平台的建设管理，办好文艺季刊《开州文苑》，指导所属文艺协会办好文艺刊物；全面从严治党，加强作风建设，强化廉政建设和反腐工作，落实“一岗双责”；负责文联经费的收、管、用和文联</w:t>
      </w:r>
      <w:r>
        <w:rPr>
          <w:rFonts w:hint="default" w:ascii="Times New Roman" w:hAnsi="Times New Roman" w:eastAsia="方正仿宋_GBK" w:cs="Times New Roman"/>
          <w:sz w:val="32"/>
          <w:szCs w:val="32"/>
          <w:lang w:eastAsia="zh-CN"/>
        </w:rPr>
        <w:t>资</w:t>
      </w:r>
      <w:r>
        <w:rPr>
          <w:rFonts w:hint="default" w:ascii="Times New Roman" w:hAnsi="Times New Roman" w:eastAsia="方正仿宋_GBK" w:cs="Times New Roman"/>
          <w:sz w:val="32"/>
          <w:szCs w:val="32"/>
        </w:rPr>
        <w:t>产的管理，加强审计监督。</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sz w:val="32"/>
          <w:lang w:val="en-US" w:eastAsia="zh-CN"/>
        </w:rPr>
      </w:pPr>
      <w:r>
        <w:rPr>
          <w:rFonts w:hint="default" w:ascii="Times New Roman" w:hAnsi="Times New Roman" w:eastAsia="方正楷体_GBK" w:cs="Times New Roman"/>
          <w:sz w:val="32"/>
          <w:lang w:val="en-US" w:eastAsia="zh-CN"/>
        </w:rPr>
        <w:t>（二）单位构成</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重庆市开州区文学艺术界联合会</w:t>
      </w:r>
      <w:r>
        <w:rPr>
          <w:rFonts w:hint="default" w:ascii="Times New Roman" w:hAnsi="Times New Roman" w:eastAsia="方正仿宋_GBK" w:cs="Times New Roman"/>
          <w:sz w:val="32"/>
        </w:rPr>
        <w:t>内设</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个职能科室</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分别</w:t>
      </w:r>
      <w:r>
        <w:rPr>
          <w:rFonts w:hint="default" w:ascii="Times New Roman" w:hAnsi="Times New Roman" w:eastAsia="方正仿宋_GBK" w:cs="Times New Roman"/>
          <w:sz w:val="32"/>
        </w:rPr>
        <w:t>为：</w:t>
      </w:r>
      <w:r>
        <w:rPr>
          <w:rFonts w:hint="default" w:ascii="Times New Roman" w:hAnsi="Times New Roman" w:eastAsia="方正仿宋_GBK" w:cs="Times New Roman"/>
          <w:sz w:val="32"/>
          <w:szCs w:val="32"/>
        </w:rPr>
        <w:t>办公室、组织联络部、</w:t>
      </w:r>
      <w:r>
        <w:rPr>
          <w:rFonts w:hint="default" w:ascii="Times New Roman" w:hAnsi="Times New Roman" w:eastAsia="方正仿宋_GBK" w:cs="Times New Roman"/>
          <w:sz w:val="32"/>
          <w:szCs w:val="32"/>
          <w:lang w:eastAsia="zh-CN"/>
        </w:rPr>
        <w:t>文艺工作部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创作研究室</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微软雅黑" w:cs="Times New Roman"/>
          <w:color w:val="333333"/>
        </w:rPr>
      </w:pPr>
      <w:r>
        <w:rPr>
          <w:rFonts w:hint="default" w:ascii="Times New Roman" w:hAnsi="Times New Roman" w:eastAsia="方正仿宋_GBK" w:cs="Times New Roman"/>
          <w:color w:val="333333"/>
          <w:sz w:val="32"/>
          <w:szCs w:val="32"/>
        </w:rPr>
        <w:t>从单位构成看，本单位是二级预算单位，主管部门为</w:t>
      </w:r>
      <w:r>
        <w:rPr>
          <w:rFonts w:hint="default" w:ascii="Times New Roman" w:hAnsi="Times New Roman" w:eastAsia="方正仿宋_GBK" w:cs="Times New Roman"/>
          <w:b w:val="0"/>
          <w:bCs w:val="0"/>
          <w:sz w:val="32"/>
          <w:szCs w:val="32"/>
          <w:lang w:val="en-US" w:eastAsia="zh-CN"/>
        </w:rPr>
        <w:t>中国共产党重庆市开州区委员会宣传部</w:t>
      </w:r>
      <w:r>
        <w:rPr>
          <w:rFonts w:hint="default" w:ascii="Times New Roman" w:hAnsi="Times New Roman" w:eastAsia="方正仿宋_GBK" w:cs="Times New Roman"/>
          <w:color w:val="333333"/>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2024年年初预算数</w:t>
      </w:r>
      <w:r>
        <w:rPr>
          <w:rFonts w:hint="default" w:ascii="Times New Roman" w:hAnsi="Times New Roman" w:eastAsia="方正仿宋_GBK" w:cs="Times New Roman"/>
          <w:sz w:val="32"/>
          <w:lang w:val="en-US" w:eastAsia="zh-CN"/>
        </w:rPr>
        <w:t>193.80</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sz w:val="32"/>
          <w:lang w:val="en-US" w:eastAsia="zh-CN"/>
        </w:rPr>
        <w:t>193.80</w:t>
      </w:r>
      <w:r>
        <w:rPr>
          <w:rFonts w:hint="default" w:ascii="Times New Roman" w:hAnsi="Times New Roman" w:eastAsia="方正仿宋_GBK" w:cs="Times New Roman"/>
          <w:sz w:val="32"/>
        </w:rPr>
        <w:t>万元，政府性基金预算拨款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万元，事业单位经营收入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万元，其他收入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i w:val="0"/>
          <w:iCs w:val="0"/>
          <w:caps w:val="0"/>
          <w:color w:val="171A1D"/>
          <w:spacing w:val="0"/>
          <w:sz w:val="32"/>
          <w:szCs w:val="32"/>
          <w:shd w:val="clear" w:color="auto" w:fill="FFFFFF"/>
        </w:rPr>
        <w:t>按上级政策要求，预算单位要严格按“三定”方案设置，我部门为2024年新设置预算单位，无法与上年同期数进行比较。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2024年年初预算</w:t>
      </w:r>
      <w:r>
        <w:rPr>
          <w:rFonts w:hint="default" w:ascii="Times New Roman" w:hAnsi="Times New Roman" w:eastAsia="方正仿宋_GBK" w:cs="Times New Roman"/>
          <w:sz w:val="32"/>
          <w:lang w:val="en-US" w:eastAsia="zh-CN"/>
        </w:rPr>
        <w:t>数193.80</w:t>
      </w:r>
      <w:r>
        <w:rPr>
          <w:rFonts w:hint="default" w:ascii="Times New Roman" w:hAnsi="Times New Roman" w:eastAsia="方正仿宋_GBK" w:cs="Times New Roman"/>
          <w:sz w:val="32"/>
        </w:rPr>
        <w:t>万元，其中：一般公共服务支出预算</w:t>
      </w:r>
      <w:r>
        <w:rPr>
          <w:rFonts w:hint="default" w:ascii="Times New Roman" w:hAnsi="Times New Roman" w:eastAsia="方正仿宋_GBK" w:cs="Times New Roman"/>
          <w:sz w:val="32"/>
          <w:lang w:val="en-US" w:eastAsia="zh-CN"/>
        </w:rPr>
        <w:t>142.62</w:t>
      </w:r>
      <w:r>
        <w:rPr>
          <w:rFonts w:hint="default" w:ascii="Times New Roman" w:hAnsi="Times New Roman" w:eastAsia="方正仿宋_GBK" w:cs="Times New Roman"/>
          <w:sz w:val="32"/>
        </w:rPr>
        <w:t>万元，社会保障和就业支出预算</w:t>
      </w:r>
      <w:r>
        <w:rPr>
          <w:rFonts w:hint="default" w:ascii="Times New Roman" w:hAnsi="Times New Roman" w:eastAsia="方正仿宋_GBK" w:cs="Times New Roman"/>
          <w:sz w:val="32"/>
          <w:lang w:val="en-US" w:eastAsia="zh-CN"/>
        </w:rPr>
        <w:t>25.70</w:t>
      </w:r>
      <w:r>
        <w:rPr>
          <w:rFonts w:hint="default" w:ascii="Times New Roman" w:hAnsi="Times New Roman" w:eastAsia="方正仿宋_GBK" w:cs="Times New Roman"/>
          <w:sz w:val="32"/>
        </w:rPr>
        <w:t>万元，卫生健康支出预算</w:t>
      </w:r>
      <w:r>
        <w:rPr>
          <w:rFonts w:hint="default" w:ascii="Times New Roman" w:hAnsi="Times New Roman" w:eastAsia="方正仿宋_GBK" w:cs="Times New Roman"/>
          <w:sz w:val="32"/>
          <w:lang w:val="en-US" w:eastAsia="zh-CN"/>
        </w:rPr>
        <w:t>11.66</w:t>
      </w:r>
      <w:r>
        <w:rPr>
          <w:rFonts w:hint="default" w:ascii="Times New Roman" w:hAnsi="Times New Roman" w:eastAsia="方正仿宋_GBK" w:cs="Times New Roman"/>
          <w:sz w:val="32"/>
        </w:rPr>
        <w:t>万元，住房保障支出预算</w:t>
      </w:r>
      <w:r>
        <w:rPr>
          <w:rFonts w:hint="default" w:ascii="Times New Roman" w:hAnsi="Times New Roman" w:eastAsia="方正仿宋_GBK" w:cs="Times New Roman"/>
          <w:sz w:val="32"/>
          <w:lang w:val="en-US" w:eastAsia="zh-CN"/>
        </w:rPr>
        <w:t>13.81</w:t>
      </w:r>
      <w:r>
        <w:rPr>
          <w:rFonts w:hint="default" w:ascii="Times New Roman" w:hAnsi="Times New Roman" w:eastAsia="方正仿宋_GBK" w:cs="Times New Roman"/>
          <w:sz w:val="32"/>
        </w:rPr>
        <w:t>万。</w:t>
      </w:r>
      <w:r>
        <w:rPr>
          <w:rFonts w:hint="default" w:ascii="Times New Roman" w:hAnsi="Times New Roman" w:eastAsia="方正仿宋_GBK" w:cs="Times New Roman"/>
          <w:i w:val="0"/>
          <w:iCs w:val="0"/>
          <w:caps w:val="0"/>
          <w:color w:val="171A1D"/>
          <w:spacing w:val="0"/>
          <w:sz w:val="32"/>
          <w:szCs w:val="32"/>
          <w:shd w:val="clear" w:color="auto" w:fill="FFFFFF"/>
        </w:rPr>
        <w:t>按上级政策要求，预算单位要严格按“三定”方案设置，我部门为2024年新设置预算单位，无法与上年同期数进行比较。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2024年一般公共预算财政拨款收入</w:t>
      </w:r>
      <w:r>
        <w:rPr>
          <w:rFonts w:hint="default" w:ascii="Times New Roman" w:hAnsi="Times New Roman" w:eastAsia="方正仿宋_GBK" w:cs="Times New Roman"/>
          <w:sz w:val="32"/>
          <w:lang w:val="en-US" w:eastAsia="zh-CN"/>
        </w:rPr>
        <w:t>193.80</w:t>
      </w:r>
      <w:r>
        <w:rPr>
          <w:rFonts w:hint="default" w:ascii="Times New Roman" w:hAnsi="Times New Roman" w:eastAsia="方正仿宋_GBK" w:cs="Times New Roman"/>
          <w:sz w:val="32"/>
        </w:rPr>
        <w:t>万元，一般公共预算财政拨款支出</w:t>
      </w:r>
      <w:r>
        <w:rPr>
          <w:rFonts w:hint="default" w:ascii="Times New Roman" w:hAnsi="Times New Roman" w:eastAsia="方正仿宋_GBK" w:cs="Times New Roman"/>
          <w:sz w:val="32"/>
          <w:lang w:val="en-US" w:eastAsia="zh-CN"/>
        </w:rPr>
        <w:t>193.80</w:t>
      </w:r>
      <w:r>
        <w:rPr>
          <w:rFonts w:hint="default" w:ascii="Times New Roman" w:hAnsi="Times New Roman" w:eastAsia="方正仿宋_GBK" w:cs="Times New Roman"/>
          <w:sz w:val="32"/>
        </w:rPr>
        <w:t>万元。其中：基本支出</w:t>
      </w:r>
      <w:r>
        <w:rPr>
          <w:rFonts w:hint="default" w:ascii="Times New Roman" w:hAnsi="Times New Roman" w:eastAsia="方正仿宋_GBK" w:cs="Times New Roman"/>
          <w:sz w:val="32"/>
          <w:lang w:val="en-US" w:eastAsia="zh-CN"/>
        </w:rPr>
        <w:t>193.80</w:t>
      </w:r>
      <w:r>
        <w:rPr>
          <w:rFonts w:hint="default" w:ascii="Times New Roman" w:hAnsi="Times New Roman" w:eastAsia="方正仿宋_GBK" w:cs="Times New Roman"/>
          <w:sz w:val="32"/>
        </w:rPr>
        <w:t>万元，主要用于保障在职人员工资福利及社会保险缴费，离休人员离休费，退休人员补助等，保障部门正常运转的各项商品服务支出；项目支出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i w:val="0"/>
          <w:iCs w:val="0"/>
          <w:caps w:val="0"/>
          <w:color w:val="171A1D"/>
          <w:spacing w:val="0"/>
          <w:sz w:val="32"/>
          <w:szCs w:val="32"/>
          <w:shd w:val="clear" w:color="auto" w:fill="FFFFFF"/>
        </w:rPr>
        <w:t>按上级政策要求，预算单位要严格按“三定”方案设置，我部门为2024年新设置预算单位，无法与上年同期数进行比较。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b w:val="0"/>
          <w:bCs w:val="0"/>
          <w:sz w:val="32"/>
          <w:szCs w:val="32"/>
          <w:lang w:val="en-US" w:eastAsia="zh-CN"/>
        </w:rPr>
        <w:t>重庆市开州区文学艺术界联合会</w:t>
      </w:r>
      <w:r>
        <w:rPr>
          <w:rFonts w:hint="default" w:ascii="Times New Roman" w:hAnsi="Times New Roman" w:eastAsia="方正仿宋_GBK" w:cs="Times New Roman"/>
          <w:sz w:val="32"/>
        </w:rPr>
        <w:t>2024年无使用政府性基金预算拨款安排的支出</w:t>
      </w:r>
      <w:r>
        <w:rPr>
          <w:rFonts w:hint="default" w:ascii="Times New Roman" w:hAnsi="Times New Roman" w:eastAsia="方正仿宋_GBK"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2024年“三公”经费预算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万元，其中：因公出国（境）费用</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万元；公务接待费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万元；公务用车运行维护费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万元；公务用车购置费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i w:val="0"/>
          <w:iCs w:val="0"/>
          <w:caps w:val="0"/>
          <w:color w:val="171A1D"/>
          <w:spacing w:val="0"/>
          <w:sz w:val="32"/>
          <w:szCs w:val="32"/>
          <w:shd w:val="clear" w:color="auto" w:fill="FFFFFF"/>
        </w:rPr>
        <w:t>按上级政策要求，预算单位要严格按“三定”方案设置，我部门为2024年新设置预算单位，无法与上年同期数进行比较。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1、机关运行经费。</w:t>
      </w:r>
      <w:r>
        <w:rPr>
          <w:rFonts w:hint="default" w:ascii="Times New Roman" w:hAnsi="Times New Roman" w:eastAsia="方正仿宋_GBK" w:cs="Times New Roman"/>
          <w:sz w:val="32"/>
        </w:rPr>
        <w:t xml:space="preserve">2024年一般公共预算财政拨款运行经费   </w:t>
      </w:r>
      <w:r>
        <w:rPr>
          <w:rFonts w:hint="default" w:ascii="Times New Roman" w:hAnsi="Times New Roman" w:eastAsia="方正仿宋_GBK" w:cs="Times New Roman"/>
          <w:sz w:val="32"/>
          <w:lang w:val="en-US" w:eastAsia="zh-CN"/>
        </w:rPr>
        <w:t>16.32</w:t>
      </w:r>
      <w:r>
        <w:rPr>
          <w:rFonts w:hint="default" w:ascii="Times New Roman" w:hAnsi="Times New Roman" w:eastAsia="方正仿宋_GBK" w:cs="Times New Roman"/>
          <w:sz w:val="32"/>
        </w:rPr>
        <w:t>万元。主要用于办公费、印刷费、邮电费、水电费、物管费、差旅费、会议费、培训费及其他商品和服务支出等。</w:t>
      </w:r>
    </w:p>
    <w:p>
      <w:pPr>
        <w:ind w:firstLine="643"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b/>
          <w:sz w:val="32"/>
        </w:rPr>
        <w:t>2、政府采购情况。</w:t>
      </w:r>
      <w:r>
        <w:rPr>
          <w:rFonts w:hint="default" w:ascii="Times New Roman" w:hAnsi="Times New Roman" w:eastAsia="方正仿宋_GBK" w:cs="Times New Roman"/>
          <w:sz w:val="32"/>
        </w:rPr>
        <w:t>我单位2024</w:t>
      </w:r>
      <w:r>
        <w:rPr>
          <w:rFonts w:hint="eastAsia" w:ascii="Times New Roman" w:hAnsi="Times New Roman" w:eastAsia="方正仿宋_GBK" w:cs="Times New Roman"/>
          <w:sz w:val="32"/>
          <w:lang w:val="en-US" w:eastAsia="zh-CN"/>
        </w:rPr>
        <w:t>年</w:t>
      </w:r>
      <w:r>
        <w:rPr>
          <w:rFonts w:hint="eastAsia" w:ascii="方正仿宋_GBK" w:hAnsi="方正仿宋_GBK" w:eastAsia="方正仿宋_GBK" w:cs="方正仿宋_GBK"/>
          <w:sz w:val="32"/>
          <w:szCs w:val="32"/>
        </w:rPr>
        <w:t>无采购预算。</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rPr>
          <w:rFonts w:hint="default" w:ascii="Times New Roman" w:hAnsi="Times New Roman" w:eastAsia="方正仿宋_GBK" w:cs="Times New Roman"/>
          <w:color w:val="000000"/>
          <w:sz w:val="32"/>
          <w:lang w:eastAsia="zh-CN"/>
        </w:rPr>
      </w:pPr>
      <w:r>
        <w:rPr>
          <w:rFonts w:hint="default" w:ascii="Times New Roman" w:hAnsi="Times New Roman" w:eastAsia="方正仿宋_GBK" w:cs="Times New Roman"/>
          <w:b/>
          <w:sz w:val="32"/>
        </w:rPr>
        <w:t>3、绩效目标设置情况。</w:t>
      </w:r>
      <w:r>
        <w:rPr>
          <w:rFonts w:hint="default" w:ascii="Times New Roman" w:hAnsi="Times New Roman" w:eastAsia="方正仿宋_GBK" w:cs="Times New Roman"/>
          <w:sz w:val="32"/>
        </w:rPr>
        <w:t>我单位</w:t>
      </w:r>
      <w:r>
        <w:rPr>
          <w:rFonts w:hint="default" w:ascii="Times New Roman" w:hAnsi="Times New Roman" w:eastAsia="方正仿宋_GBK" w:cs="Times New Roman"/>
          <w:color w:val="000000"/>
          <w:sz w:val="32"/>
        </w:rPr>
        <w:t>2024年</w:t>
      </w:r>
      <w:r>
        <w:rPr>
          <w:rFonts w:hint="default" w:ascii="Times New Roman" w:hAnsi="Times New Roman" w:eastAsia="方正仿宋_GBK" w:cs="Times New Roman"/>
          <w:color w:val="000000"/>
          <w:sz w:val="32"/>
          <w:lang w:val="en-US" w:eastAsia="zh-CN"/>
        </w:rPr>
        <w:t>无</w:t>
      </w:r>
      <w:r>
        <w:rPr>
          <w:rFonts w:hint="default" w:ascii="Times New Roman" w:hAnsi="Times New Roman" w:eastAsia="方正仿宋_GBK" w:cs="Times New Roman"/>
          <w:color w:val="000000"/>
          <w:sz w:val="32"/>
        </w:rPr>
        <w:t>项目支出</w:t>
      </w:r>
      <w:r>
        <w:rPr>
          <w:rFonts w:hint="default" w:ascii="Times New Roman" w:hAnsi="Times New Roman" w:eastAsia="方正仿宋_GBK" w:cs="Times New Roman"/>
          <w:color w:val="000000"/>
          <w:sz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b/>
          <w:color w:val="000000"/>
          <w:sz w:val="32"/>
        </w:rPr>
        <w:t>4、国有资产占有使用情况。</w:t>
      </w:r>
      <w:r>
        <w:rPr>
          <w:rFonts w:hint="eastAsia" w:cs="Times New Roman"/>
          <w:color w:val="000000"/>
          <w:sz w:val="32"/>
          <w:lang w:val="en-US" w:eastAsia="zh-CN"/>
        </w:rPr>
        <w:t>截至</w:t>
      </w:r>
      <w:bookmarkStart w:id="0" w:name="_GoBack"/>
      <w:bookmarkEnd w:id="0"/>
      <w:r>
        <w:rPr>
          <w:rFonts w:hint="default" w:ascii="Times New Roman" w:hAnsi="Times New Roman" w:eastAsia="方正仿宋_GBK" w:cs="Times New Roman"/>
          <w:color w:val="000000"/>
          <w:sz w:val="32"/>
        </w:rPr>
        <w:t xml:space="preserve">2023年12月，所属各预算单位共有车辆 </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辆。2024年一般公共预算安排购置车辆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13"/>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13"/>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pStyle w:val="13"/>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13"/>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小标宋_GBK" w:cs="Times New Roman"/>
          <w:sz w:val="44"/>
          <w:szCs w:val="44"/>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ind w:left="0" w:leftChars="0"/>
        <w:textAlignment w:val="auto"/>
        <w:rPr>
          <w:rFonts w:hint="default" w:ascii="Times New Roman" w:hAnsi="Times New Roman" w:eastAsia="方正小标宋_GBK" w:cs="Times New Roman"/>
          <w:sz w:val="36"/>
          <w:szCs w:val="36"/>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sz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rPr>
      </w:pPr>
    </w:p>
    <w:p>
      <w:pPr>
        <w:pStyle w:val="3"/>
        <w:keepNext w:val="0"/>
        <w:keepLines w:val="0"/>
        <w:pageBreakBefore w:val="0"/>
        <w:widowControl w:val="0"/>
        <w:kinsoku/>
        <w:wordWrap/>
        <w:overflowPunct/>
        <w:topLinePunct w:val="0"/>
        <w:autoSpaceDE/>
        <w:autoSpaceDN/>
        <w:bidi w:val="0"/>
        <w:adjustRightInd/>
        <w:snapToGrid/>
        <w:spacing w:after="0" w:afterLines="0" w:line="594" w:lineRule="exact"/>
        <w:ind w:left="0" w:leftChars="0"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rPr>
        <w:t>2024年部门预算公开报表</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详见附表</w:t>
      </w:r>
      <w:r>
        <w:rPr>
          <w:rFonts w:hint="default" w:ascii="Times New Roman" w:hAnsi="Times New Roman" w:eastAsia="方正仿宋_GBK" w:cs="Times New Roman"/>
          <w:b w:val="0"/>
          <w:bCs w:val="0"/>
          <w:sz w:val="32"/>
          <w:szCs w:val="32"/>
          <w:lang w:val="en-US" w:eastAsia="zh-CN"/>
        </w:rPr>
        <w:t>重庆市开州区文学艺术界联合会</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rPr>
        <w:t>024年部门预算公开报表</w:t>
      </w:r>
      <w:r>
        <w:rPr>
          <w:rFonts w:hint="default" w:ascii="Times New Roman" w:hAnsi="Times New Roman" w:eastAsia="方正仿宋_GBK"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3520" w:firstLineChars="1100"/>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3520" w:firstLineChars="1100"/>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3520" w:firstLineChars="11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重庆市开州区文学艺术界联合会</w:t>
      </w:r>
    </w:p>
    <w:p>
      <w:pPr>
        <w:keepNext w:val="0"/>
        <w:keepLines w:val="0"/>
        <w:pageBreakBefore w:val="0"/>
        <w:widowControl w:val="0"/>
        <w:kinsoku/>
        <w:wordWrap/>
        <w:overflowPunct/>
        <w:topLinePunct w:val="0"/>
        <w:autoSpaceDE/>
        <w:autoSpaceDN/>
        <w:bidi w:val="0"/>
        <w:adjustRightInd/>
        <w:snapToGrid/>
        <w:spacing w:line="594" w:lineRule="exact"/>
        <w:ind w:firstLine="4800" w:firstLineChars="15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24</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21</w:t>
      </w:r>
      <w:r>
        <w:rPr>
          <w:rFonts w:hint="default" w:ascii="Times New Roman" w:hAnsi="Times New Roman" w:eastAsia="仿宋"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b w:val="0"/>
          <w:bCs/>
          <w:sz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cs="Times New Roman"/>
          <w:b w:val="0"/>
          <w:bCs/>
          <w:sz w:val="32"/>
          <w:lang w:eastAsia="zh-CN"/>
        </w:rPr>
        <w:t>（</w:t>
      </w:r>
      <w:r>
        <w:rPr>
          <w:rFonts w:hint="default" w:ascii="Times New Roman" w:hAnsi="Times New Roman" w:eastAsia="方正仿宋_GBK" w:cs="Times New Roman"/>
          <w:b w:val="0"/>
          <w:bCs/>
          <w:sz w:val="32"/>
        </w:rPr>
        <w:t>部门预算公开联系人：</w:t>
      </w:r>
      <w:r>
        <w:rPr>
          <w:rFonts w:hint="default" w:ascii="Times New Roman" w:hAnsi="Times New Roman" w:eastAsia="方正仿宋_GBK" w:cs="Times New Roman"/>
          <w:b w:val="0"/>
          <w:bCs/>
          <w:sz w:val="32"/>
          <w:lang w:val="en-US" w:eastAsia="zh-CN"/>
        </w:rPr>
        <w:t>唐东</w:t>
      </w:r>
      <w:r>
        <w:rPr>
          <w:rFonts w:hint="default" w:ascii="Times New Roman" w:hAnsi="Times New Roman" w:cs="Times New Roman"/>
          <w:b w:val="0"/>
          <w:bCs/>
          <w:sz w:val="32"/>
          <w:lang w:val="en-US" w:eastAsia="zh-CN"/>
        </w:rPr>
        <w:t>；</w:t>
      </w:r>
      <w:r>
        <w:rPr>
          <w:rFonts w:hint="default" w:ascii="Times New Roman" w:hAnsi="Times New Roman" w:eastAsia="方正仿宋_GBK" w:cs="Times New Roman"/>
          <w:b w:val="0"/>
          <w:bCs/>
          <w:sz w:val="32"/>
        </w:rPr>
        <w:t>联系方式：023-</w:t>
      </w:r>
      <w:r>
        <w:rPr>
          <w:rFonts w:hint="default" w:ascii="Times New Roman" w:hAnsi="Times New Roman" w:eastAsia="方正仿宋_GBK" w:cs="Times New Roman"/>
          <w:b w:val="0"/>
          <w:bCs/>
          <w:sz w:val="32"/>
          <w:lang w:val="en-US" w:eastAsia="zh-CN"/>
        </w:rPr>
        <w:t>52666131</w:t>
      </w:r>
      <w:r>
        <w:rPr>
          <w:rFonts w:hint="default" w:ascii="Times New Roman" w:hAnsi="Times New Roman" w:cs="Times New Roman"/>
          <w:b w:val="0"/>
          <w:bCs/>
          <w:sz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594" w:lineRule="exact"/>
        <w:ind w:left="0" w:leftChars="0"/>
        <w:textAlignment w:val="auto"/>
        <w:rPr>
          <w:rFonts w:hint="default" w:ascii="Times New Roman" w:hAnsi="Times New Roman" w:eastAsia="方正黑体_GBK" w:cs="Times New Roman"/>
          <w:b/>
          <w:sz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4032" w:firstLineChars="1260"/>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4032" w:firstLineChars="1260"/>
        <w:jc w:val="left"/>
        <w:textAlignment w:val="auto"/>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7"/>
        <w:ind w:left="0" w:leftChars="0" w:firstLine="0" w:firstLineChars="0"/>
        <w:rPr>
          <w:rFonts w:hint="default" w:ascii="Times New Roman" w:hAnsi="Times New Roman" w:cs="Times New Roman"/>
          <w:lang w:val="en-US" w:eastAsia="zh-CN"/>
        </w:rPr>
      </w:pPr>
    </w:p>
    <w:p>
      <w:pPr>
        <w:pStyle w:val="7"/>
        <w:ind w:left="0" w:leftChars="0" w:firstLine="0" w:firstLineChars="0"/>
        <w:rPr>
          <w:rFonts w:hint="default" w:ascii="Times New Roman" w:hAnsi="Times New Roman" w:cs="Times New Roman"/>
          <w:lang w:val="en-US" w:eastAsia="zh-CN"/>
        </w:rPr>
      </w:pPr>
    </w:p>
    <w:p>
      <w:pPr>
        <w:bidi w:val="0"/>
        <w:ind w:left="0" w:leftChars="0" w:firstLine="0" w:firstLineChars="0"/>
        <w:rPr>
          <w:rFonts w:hint="default" w:ascii="Times New Roman" w:hAnsi="Times New Roman" w:cs="Times New Roman"/>
          <w:lang w:val="en-US" w:eastAsia="zh-CN"/>
        </w:rPr>
      </w:pPr>
    </w:p>
    <w:p>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autoSpaceDE/>
        <w:autoSpaceDN/>
        <w:bidi w:val="0"/>
        <w:adjustRightInd/>
        <w:snapToGrid/>
        <w:spacing w:line="560" w:lineRule="exact"/>
        <w:ind w:left="0" w:leftChars="0" w:firstLine="280" w:firstLineChars="1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28"/>
          <w:szCs w:val="28"/>
          <w:lang w:eastAsia="zh-CN"/>
        </w:rPr>
        <w:t>重庆市开州区社会科学界联合会办公室</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p>
    <w:sectPr>
      <w:footerReference r:id="rId3" w:type="default"/>
      <w:pgSz w:w="11906" w:h="16838"/>
      <w:pgMar w:top="2098" w:right="1531" w:bottom="1984" w:left="1531"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displayBackgroundShape w:val="1"/>
  <w:embedSystemFonts/>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MzUzOTE4MzE4NTYxZDRlMTFhOTBiNDI1Njg3NGUifQ=="/>
    <w:docVar w:name="KSO_WPS_MARK_KEY" w:val="33e5db6b-bd40-4625-992e-7f8c6ac848d3"/>
  </w:docVars>
  <w:rsids>
    <w:rsidRoot w:val="439D2F57"/>
    <w:rsid w:val="003F3E6C"/>
    <w:rsid w:val="009A43BC"/>
    <w:rsid w:val="01417996"/>
    <w:rsid w:val="021F2A51"/>
    <w:rsid w:val="03541316"/>
    <w:rsid w:val="03C230FA"/>
    <w:rsid w:val="05590459"/>
    <w:rsid w:val="06127C3D"/>
    <w:rsid w:val="070A4587"/>
    <w:rsid w:val="07955C8B"/>
    <w:rsid w:val="0A4D56E8"/>
    <w:rsid w:val="0B242E1D"/>
    <w:rsid w:val="0BA22D11"/>
    <w:rsid w:val="0D200E92"/>
    <w:rsid w:val="0E6B438E"/>
    <w:rsid w:val="0EAC6198"/>
    <w:rsid w:val="0ED26F75"/>
    <w:rsid w:val="0F5B3F73"/>
    <w:rsid w:val="0FB568FC"/>
    <w:rsid w:val="101E7734"/>
    <w:rsid w:val="1026677E"/>
    <w:rsid w:val="114B46C7"/>
    <w:rsid w:val="122732A1"/>
    <w:rsid w:val="13161CC7"/>
    <w:rsid w:val="134A5D5C"/>
    <w:rsid w:val="17946704"/>
    <w:rsid w:val="197B71FC"/>
    <w:rsid w:val="197D5121"/>
    <w:rsid w:val="198D27BE"/>
    <w:rsid w:val="1B886580"/>
    <w:rsid w:val="1DBB0448"/>
    <w:rsid w:val="1E457548"/>
    <w:rsid w:val="1E6B4EC0"/>
    <w:rsid w:val="1EA54762"/>
    <w:rsid w:val="1F073C5F"/>
    <w:rsid w:val="1FE10954"/>
    <w:rsid w:val="21BC5CEA"/>
    <w:rsid w:val="21C61BB0"/>
    <w:rsid w:val="22033EE7"/>
    <w:rsid w:val="22A7378F"/>
    <w:rsid w:val="27160EE4"/>
    <w:rsid w:val="28702CC5"/>
    <w:rsid w:val="2BB577E5"/>
    <w:rsid w:val="2FB835B5"/>
    <w:rsid w:val="2FD379AA"/>
    <w:rsid w:val="2FFA68DD"/>
    <w:rsid w:val="3056624A"/>
    <w:rsid w:val="3171034C"/>
    <w:rsid w:val="323C6419"/>
    <w:rsid w:val="332C42D3"/>
    <w:rsid w:val="33B51A84"/>
    <w:rsid w:val="34155334"/>
    <w:rsid w:val="34E86200"/>
    <w:rsid w:val="35596B81"/>
    <w:rsid w:val="35BA4679"/>
    <w:rsid w:val="35FF5CA8"/>
    <w:rsid w:val="37850101"/>
    <w:rsid w:val="378C13F6"/>
    <w:rsid w:val="389C3213"/>
    <w:rsid w:val="394A0EC1"/>
    <w:rsid w:val="3C1557B6"/>
    <w:rsid w:val="3ED06927"/>
    <w:rsid w:val="3F836E9B"/>
    <w:rsid w:val="40B15356"/>
    <w:rsid w:val="413B7205"/>
    <w:rsid w:val="41811716"/>
    <w:rsid w:val="41D11A72"/>
    <w:rsid w:val="41D2400B"/>
    <w:rsid w:val="439D2F57"/>
    <w:rsid w:val="43AC45F1"/>
    <w:rsid w:val="44107112"/>
    <w:rsid w:val="458E3E27"/>
    <w:rsid w:val="47094480"/>
    <w:rsid w:val="49254867"/>
    <w:rsid w:val="4CEB6B20"/>
    <w:rsid w:val="4E335445"/>
    <w:rsid w:val="4EBB7166"/>
    <w:rsid w:val="4ED44276"/>
    <w:rsid w:val="51A13CC0"/>
    <w:rsid w:val="52BC6534"/>
    <w:rsid w:val="5354416F"/>
    <w:rsid w:val="56466840"/>
    <w:rsid w:val="56840717"/>
    <w:rsid w:val="596843AA"/>
    <w:rsid w:val="5AB0237B"/>
    <w:rsid w:val="5B1D0F6C"/>
    <w:rsid w:val="5B83043A"/>
    <w:rsid w:val="5BA75886"/>
    <w:rsid w:val="5CA50038"/>
    <w:rsid w:val="5DB70023"/>
    <w:rsid w:val="6038413A"/>
    <w:rsid w:val="604C471E"/>
    <w:rsid w:val="605E34A9"/>
    <w:rsid w:val="612B3202"/>
    <w:rsid w:val="62E20295"/>
    <w:rsid w:val="684626D0"/>
    <w:rsid w:val="68EC2B23"/>
    <w:rsid w:val="6CCB724E"/>
    <w:rsid w:val="6CF13240"/>
    <w:rsid w:val="70E20EAB"/>
    <w:rsid w:val="71C1726B"/>
    <w:rsid w:val="73561293"/>
    <w:rsid w:val="737D2606"/>
    <w:rsid w:val="74F03838"/>
    <w:rsid w:val="76687D8C"/>
    <w:rsid w:val="76EB1A60"/>
    <w:rsid w:val="77154E32"/>
    <w:rsid w:val="778A4199"/>
    <w:rsid w:val="7BCE0D8E"/>
    <w:rsid w:val="7CAF4890"/>
    <w:rsid w:val="7E1C7D03"/>
    <w:rsid w:val="7E7E0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420" w:firstLineChars="200"/>
      <w:jc w:val="both"/>
    </w:pPr>
    <w:rPr>
      <w:rFonts w:ascii="Times New Roman" w:hAnsi="Times New Roman" w:eastAsia="方正仿宋_GBK" w:cstheme="minorBidi"/>
      <w:kern w:val="2"/>
      <w:sz w:val="32"/>
      <w:szCs w:val="24"/>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0" w:leftChars="0" w:firstLine="420" w:firstLineChars="200"/>
    </w:pPr>
    <w:rPr>
      <w:rFonts w:ascii="Times New Roman" w:hAnsi="Times New Roman"/>
    </w:rPr>
  </w:style>
  <w:style w:type="paragraph" w:styleId="3">
    <w:name w:val="Body Text Indent"/>
    <w:basedOn w:val="1"/>
    <w:qFormat/>
    <w:uiPriority w:val="0"/>
    <w:pPr>
      <w:spacing w:after="120" w:afterLines="0" w:afterAutospacing="0"/>
      <w:ind w:left="420" w:leftChars="200"/>
    </w:pPr>
  </w:style>
  <w:style w:type="paragraph" w:styleId="4">
    <w:name w:val="Body Text"/>
    <w:basedOn w:val="1"/>
    <w:next w:val="1"/>
    <w:unhideWhenUsed/>
    <w:qFormat/>
    <w:uiPriority w:val="99"/>
    <w:pPr>
      <w:widowControl w:val="0"/>
      <w:spacing w:line="579" w:lineRule="exact"/>
      <w:ind w:firstLine="420" w:firstLineChars="200"/>
      <w:jc w:val="both"/>
    </w:pPr>
    <w:rPr>
      <w:rFonts w:ascii="Times New Roman" w:hAnsi="Times New Roman" w:eastAsia="方正仿宋_GBK" w:cs="Times New Roman"/>
      <w:kern w:val="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qFormat/>
    <w:uiPriority w:val="99"/>
    <w:pPr>
      <w:widowControl w:val="0"/>
      <w:spacing w:before="240" w:after="60" w:line="600" w:lineRule="exact"/>
      <w:ind w:firstLine="880" w:firstLineChars="200"/>
      <w:jc w:val="both"/>
      <w:outlineLvl w:val="0"/>
    </w:pPr>
    <w:rPr>
      <w:rFonts w:ascii="Arial" w:hAnsi="Arial" w:eastAsia="宋体" w:cs="Arial"/>
      <w:b/>
      <w:bCs/>
      <w:kern w:val="2"/>
      <w:sz w:val="32"/>
      <w:szCs w:val="32"/>
      <w:lang w:val="en-US" w:eastAsia="zh-CN" w:bidi="ar-SA"/>
    </w:rPr>
  </w:style>
  <w:style w:type="character" w:styleId="9">
    <w:name w:val="Emphasis"/>
    <w:basedOn w:val="8"/>
    <w:qFormat/>
    <w:uiPriority w:val="0"/>
    <w:rPr>
      <w:i/>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NormalCharacter"/>
    <w:qFormat/>
    <w:uiPriority w:val="0"/>
    <w:rPr>
      <w:rFonts w:ascii="Times New Roman" w:hAnsi="Times New Roman" w:eastAsia="宋体"/>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2911</Words>
  <Characters>3063</Characters>
  <Lines>0</Lines>
  <Paragraphs>0</Paragraphs>
  <TotalTime>0</TotalTime>
  <ScaleCrop>false</ScaleCrop>
  <LinksUpToDate>false</LinksUpToDate>
  <CharactersWithSpaces>3074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2022-04-06T06:11:00Z</dcterms:created>
  <dc:creator>涂浩</dc:creator>
  <cp:lastModifiedBy>张雷</cp:lastModifiedBy>
  <cp:lastPrinted>2023-05-12T03:31:00Z</cp:lastPrinted>
  <dcterms:modified xsi:type="dcterms:W3CDTF">2024-03-28T09:43:46Z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22E91ECB43974DE3B2906240DF44B4DA_13</vt:lpwstr>
  </property>
  <property fmtid="{D5CDD505-2E9C-101B-9397-08002B2CF9AE}" pid="4" name="KSOSaveFontToCloudKey">
    <vt:lpwstr>451878328_btnclosed</vt:lpwstr>
  </property>
</Properties>
</file>