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cs="Times New Roman"/>
                <w:szCs w:val="32"/>
              </w:rPr>
            </w:pPr>
          </w:p>
        </w:tc>
      </w:tr>
      <w:tr>
        <w:tblPrEx>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default" w:ascii="Times New Roman" w:hAnsi="Times New Roman" w:eastAsia="方正黑体_GBK" w:cs="Times New Roman"/>
                <w:szCs w:val="32"/>
              </w:rPr>
            </w:pPr>
          </w:p>
        </w:tc>
      </w:tr>
      <w:tr>
        <w:tblPrEx>
          <w:tblLayout w:type="fixed"/>
          <w:tblCellMar>
            <w:top w:w="0" w:type="dxa"/>
            <w:left w:w="108" w:type="dxa"/>
            <w:bottom w:w="0" w:type="dxa"/>
            <w:right w:w="108" w:type="dxa"/>
          </w:tblCellMar>
        </w:tblPrEx>
        <w:trPr>
          <w:trHeight w:val="851" w:hRule="exact"/>
          <w:jc w:val="center"/>
        </w:trPr>
        <w:tc>
          <w:tcPr>
            <w:tcW w:w="8833" w:type="dxa"/>
            <w:vAlign w:val="center"/>
          </w:tcPr>
          <w:p>
            <w:pPr>
              <w:jc w:val="center"/>
              <w:rPr>
                <w:rFonts w:hint="default" w:ascii="Times New Roman" w:hAnsi="Times New Roman" w:eastAsia="方正小标宋简体" w:cs="Times New Roman"/>
                <w:color w:val="FF0000"/>
                <w:w w:val="80"/>
              </w:rPr>
            </w:pPr>
          </w:p>
        </w:tc>
      </w:tr>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hint="default" w:ascii="Times New Roman" w:hAnsi="Times New Roman" w:eastAsia="方正小标宋_GBK" w:cs="Times New Roman"/>
                <w:b/>
                <w:color w:val="FF3300"/>
                <w:spacing w:val="-36"/>
                <w:w w:val="53"/>
                <w:sz w:val="128"/>
                <w:szCs w:val="128"/>
              </w:rPr>
            </w:pPr>
            <w:r>
              <w:rPr>
                <w:rFonts w:hint="default" w:ascii="Times New Roman" w:hAnsi="Times New Roman" w:eastAsia="方正小标宋_GBK" w:cs="Times New Roman"/>
                <w:b/>
                <w:color w:val="FF3300"/>
                <w:spacing w:val="-36"/>
                <w:w w:val="53"/>
                <w:sz w:val="128"/>
                <w:szCs w:val="128"/>
              </w:rPr>
              <w:t>中共重庆市开州区委宣传部文件</w:t>
            </w:r>
          </w:p>
        </w:tc>
      </w:tr>
      <w:tr>
        <w:tblPrEx>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开州委宣〔202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pPr>
              <w:spacing w:line="540" w:lineRule="exact"/>
              <w:jc w:val="center"/>
              <w:rPr>
                <w:rFonts w:hint="default" w:ascii="Times New Roman" w:hAnsi="Times New Roman" w:cs="Times New Roman"/>
                <w:color w:val="FF3300"/>
                <w:sz w:val="52"/>
                <w:szCs w:val="52"/>
              </w:rPr>
            </w:pPr>
            <w:r>
              <w:rPr>
                <w:rFonts w:hint="default" w:ascii="Times New Roman" w:hAnsi="Times New Roman" w:cs="Times New Roman"/>
                <w:color w:val="FF3300"/>
                <w:sz w:val="52"/>
                <w:szCs w:val="52"/>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162560</wp:posOffset>
                      </wp:positionV>
                      <wp:extent cx="2598420" cy="0"/>
                      <wp:effectExtent l="0" t="13970" r="11430" b="24130"/>
                      <wp:wrapNone/>
                      <wp:docPr id="7" name="直接连接符 7"/>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2.35pt;margin-top:12.8pt;height:0pt;width:204.6pt;z-index:251660288;mso-width-relative:page;mso-height-relative:page;" filled="f" stroked="t" coordsize="21600,21600" o:gfxdata="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pRCnYAAAACQEA&#10;AA8AAAAAAAAAAQAgAAAAIgAAAGRycy9kb3ducmV2LnhtbFBLAQIUABQAAAAIAIdO4kBSgx7G4QEA&#10;AKUDAAAOAAAAAAAAAAEAIAAAACcBAABkcnMvZTJvRG9jLnhtbFBLBQYAAAAABgAGAFkBAAB6BQAA&#10;AAA=&#10;">
                      <v:fill on="f" focussize="0,0"/>
                      <v:stroke weight="2.25pt" color="#FF0000" joinstyle="round"/>
                      <v:imagedata o:title=""/>
                      <o:lock v:ext="edit" aspectratio="f"/>
                    </v:line>
                  </w:pict>
                </mc:Fallback>
              </mc:AlternateContent>
            </w:r>
            <w:r>
              <w:rPr>
                <w:rFonts w:hint="default" w:ascii="Times New Roman" w:hAnsi="Times New Roman" w:cs="Times New Roman"/>
                <w:color w:val="FF3300"/>
                <w:sz w:val="52"/>
                <w:szCs w:val="52"/>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173355</wp:posOffset>
                      </wp:positionV>
                      <wp:extent cx="2536190" cy="0"/>
                      <wp:effectExtent l="0" t="13970" r="16510" b="24130"/>
                      <wp:wrapNone/>
                      <wp:docPr id="2" name="直接连接符 2"/>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13.65pt;height:0pt;width:199.7pt;z-index:251659264;mso-width-relative:page;mso-height-relative:page;" filled="f" stroked="t" coordsize="21600,21600" o:gfxdata="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CupvtYAAAAJAQAA&#10;DwAAAAAAAAABACAAAAAiAAAAZHJzL2Rvd25yZXYueG1sUEsBAhQAFAAAAAgAh07iQBEQjo3iAQAA&#10;pQMAAA4AAAAAAAAAAQAgAAAAJQEAAGRycy9lMm9Eb2MueG1sUEsFBgAAAAAGAAYAWQEAAHkFAAAA&#10;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b/>
                <w:color w:val="FF3300"/>
                <w:sz w:val="52"/>
                <w:szCs w:val="52"/>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重庆市开州区新时代文明实践指导中心</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w:t>
      </w:r>
      <w:r>
        <w:rPr>
          <w:rFonts w:hint="default" w:ascii="Times New Roman" w:hAnsi="Times New Roman" w:eastAsia="方正仿宋_GBK" w:cs="Times New Roman"/>
          <w:color w:val="000000"/>
          <w:sz w:val="32"/>
          <w:szCs w:val="32"/>
        </w:rPr>
        <w:t>开州财教发〔2024〕7号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2024年部门预算批复情况公开如下：</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黑体_GBK" w:cs="Times New Roman"/>
        </w:rPr>
      </w:pPr>
      <w:r>
        <w:rPr>
          <w:rFonts w:hint="default" w:ascii="Times New Roman" w:hAnsi="Times New Roman" w:eastAsia="方正黑体_GBK" w:cs="Times New Roman"/>
          <w:sz w:val="32"/>
          <w:szCs w:val="32"/>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szCs w:val="32"/>
        </w:rPr>
        <w:t>项目支出表</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b w:val="0"/>
          <w:bCs w:val="0"/>
          <w:sz w:val="32"/>
          <w:lang w:val="en-US" w:eastAsia="zh-CN"/>
        </w:rPr>
      </w:pP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一</w:t>
      </w:r>
      <w:r>
        <w:rPr>
          <w:rFonts w:hint="default" w:ascii="Times New Roman" w:hAnsi="Times New Roman" w:eastAsia="方正楷体_GBK" w:cs="Times New Roman"/>
          <w:b w:val="0"/>
          <w:bCs w:val="0"/>
          <w:sz w:val="32"/>
          <w:lang w:eastAsia="zh-CN"/>
        </w:rPr>
        <w:t>）</w:t>
      </w:r>
      <w:r>
        <w:rPr>
          <w:rFonts w:hint="default" w:ascii="Times New Roman" w:hAnsi="Times New Roman" w:eastAsia="方正楷体_GBK" w:cs="Times New Roman"/>
          <w:b w:val="0"/>
          <w:bCs w:val="0"/>
          <w:sz w:val="32"/>
          <w:lang w:val="en-US" w:eastAsia="zh-CN"/>
        </w:rPr>
        <w:t>职能职责</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1、负责制定全区新时代文明实践年度工作计划，承担新时代文明实践工作体系建设、队伍建设、人员培训、制度建设等工作。研究部署推进各项工作，定期通报新时代文明实践活动开展情况。</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2、负责新时代文明实践活动项目库建设，组织指导志愿者开展文明实践志愿服务活动。负责志愿者的组织引导、登记注册、日常管理、嘉许激励、权益保障等工作。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3、负责承接群众点单及新时代文明实践所、站上报活动需求，向志愿服务分队派送任务，及时掌握任务完成情况。</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4、负责新时代文明实践活动档案收集整理工作，及时掌握志愿者活动情况和项目实施情况。</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5、负责开展群众满意度调查，畅通民意渠道。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lang w:val="en-US" w:eastAsia="zh-CN"/>
        </w:rPr>
      </w:pPr>
      <w:r>
        <w:rPr>
          <w:rFonts w:hint="default" w:ascii="Times New Roman" w:hAnsi="Times New Roman" w:eastAsia="方正楷体_GBK" w:cs="Times New Roman"/>
          <w:sz w:val="32"/>
          <w:lang w:val="en-US" w:eastAsia="zh-CN"/>
        </w:rPr>
        <w:t>（二）单位构成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lang w:val="en-US" w:eastAsia="zh-CN"/>
        </w:rPr>
        <w:t>重庆市开州区新时代文明实践指导中心核定事业编制10名，设主任1名，副主任1名</w:t>
      </w:r>
      <w:r>
        <w:rPr>
          <w:rFonts w:hint="default" w:ascii="Times New Roman" w:hAnsi="Times New Roman" w:eastAsia="方正仿宋_GBK" w:cs="Times New Roman"/>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微软雅黑" w:cs="Times New Roman"/>
          <w:color w:val="333333"/>
        </w:rPr>
      </w:pPr>
      <w:r>
        <w:rPr>
          <w:rFonts w:hint="default" w:ascii="Times New Roman" w:hAnsi="Times New Roman" w:eastAsia="方正仿宋_GBK" w:cs="Times New Roman"/>
          <w:color w:val="333333"/>
          <w:sz w:val="32"/>
          <w:szCs w:val="32"/>
        </w:rPr>
        <w:t>从单位构成看，本单位是二级预算单位，主管部门为</w:t>
      </w:r>
      <w:r>
        <w:rPr>
          <w:rFonts w:hint="default" w:ascii="Times New Roman" w:hAnsi="Times New Roman" w:eastAsia="方正仿宋_GBK" w:cs="Times New Roman"/>
          <w:b w:val="0"/>
          <w:bCs w:val="0"/>
          <w:sz w:val="32"/>
          <w:szCs w:val="32"/>
          <w:lang w:val="en-US" w:eastAsia="zh-CN"/>
        </w:rPr>
        <w:t>中国共产党重庆市开州区委员会宣传部</w:t>
      </w:r>
      <w:r>
        <w:rPr>
          <w:rFonts w:hint="default" w:ascii="Times New Roman" w:hAnsi="Times New Roman" w:eastAsia="方正仿宋_GBK" w:cs="Times New Roman"/>
          <w:color w:val="333333"/>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101.98</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12.57</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6.25</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6.29</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其中：基本支出</w:t>
      </w:r>
      <w:r>
        <w:rPr>
          <w:rFonts w:hint="default" w:ascii="Times New Roman" w:hAnsi="Times New Roman" w:eastAsia="方正仿宋_GBK" w:cs="Times New Roman"/>
          <w:sz w:val="32"/>
          <w:lang w:val="en-US" w:eastAsia="zh-CN"/>
        </w:rPr>
        <w:t>127.10</w:t>
      </w:r>
      <w:r>
        <w:rPr>
          <w:rFonts w:hint="default" w:ascii="Times New Roman" w:hAnsi="Times New Roman" w:eastAsia="方正仿宋_GBK" w:cs="Times New Roman"/>
          <w:sz w:val="32"/>
        </w:rPr>
        <w:t>万元，主要用于保障在职人员工资福利及社会保险缴费，离休人员离休费，退休人员补助等，保障部门正常运转的各项商品服务支出；项目支出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szCs w:val="32"/>
          <w:lang w:val="en-US" w:eastAsia="zh-CN"/>
        </w:rPr>
        <w:t>重庆市开州区新时代文明实践指导中心</w:t>
      </w:r>
      <w:r>
        <w:rPr>
          <w:rFonts w:hint="default" w:ascii="Times New Roman" w:hAnsi="Times New Roman" w:eastAsia="方正仿宋_GBK" w:cs="Times New Roman"/>
          <w:sz w:val="32"/>
        </w:rPr>
        <w:t>2024年无使用政府性基金预算拨款安排的支出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i w:val="0"/>
          <w:iCs w:val="0"/>
          <w:caps w:val="0"/>
          <w:color w:val="171A1D"/>
          <w:spacing w:val="0"/>
          <w:sz w:val="32"/>
          <w:szCs w:val="32"/>
          <w:shd w:val="clear" w:color="auto" w:fill="FFFFFF"/>
        </w:rPr>
        <w:t>按上级政策要求，预算单位要严格按“三定”方案设置，我部门为2024年新设置预算单位，无法与上年同期数进行比较。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1、我单位不在机关运行经费统计范围之内。</w:t>
      </w:r>
    </w:p>
    <w:p>
      <w:pPr>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rPr>
        <w:t>2、政府采购情况。我单位2024</w:t>
      </w:r>
      <w:r>
        <w:rPr>
          <w:rFonts w:hint="eastAsia" w:ascii="Times New Roman" w:hAnsi="Times New Roman" w:eastAsia="方正仿宋_GBK" w:cs="Times New Roman"/>
          <w:sz w:val="32"/>
          <w:lang w:val="en-US" w:eastAsia="zh-CN"/>
        </w:rPr>
        <w:t>年</w:t>
      </w:r>
      <w:r>
        <w:rPr>
          <w:rFonts w:hint="eastAsia" w:ascii="方正仿宋_GBK" w:hAnsi="方正仿宋_GBK" w:eastAsia="方正仿宋_GBK" w:cs="方正仿宋_GBK"/>
          <w:sz w:val="32"/>
          <w:szCs w:val="32"/>
        </w:rPr>
        <w:t>无采购预算。</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3、绩效目标设置情况。我单位2024年</w:t>
      </w:r>
      <w:r>
        <w:rPr>
          <w:rFonts w:hint="default" w:ascii="Times New Roman" w:hAnsi="Times New Roman" w:eastAsia="方正仿宋_GBK" w:cs="Times New Roman"/>
          <w:sz w:val="32"/>
          <w:lang w:val="en-US" w:eastAsia="zh-CN"/>
        </w:rPr>
        <w:t>无</w:t>
      </w:r>
      <w:r>
        <w:rPr>
          <w:rFonts w:hint="default" w:ascii="Times New Roman" w:hAnsi="Times New Roman" w:eastAsia="方正仿宋_GBK" w:cs="Times New Roman"/>
          <w:sz w:val="32"/>
        </w:rPr>
        <w:t>项目支出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hint="default" w:ascii="Times New Roman" w:hAnsi="Times New Roman" w:eastAsia="方正仿宋_GBK" w:cs="Times New Roman"/>
          <w:sz w:val="32"/>
        </w:rPr>
        <w:t xml:space="preserve">2023年12月，所属各预算单位共有车辆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辆，其中一般公务用车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辆、执勤执法用车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辆。2024年一般公共预算安排购置车辆</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辆，其中一般公务用车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辆、执勤执法用车</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辆。</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2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2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2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23"/>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p>
    <w:p>
      <w:pPr>
        <w:pStyle w:val="3"/>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2024年部门预算公开报表</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详见附表</w:t>
      </w:r>
      <w:r>
        <w:rPr>
          <w:rFonts w:hint="default" w:ascii="Times New Roman" w:hAnsi="Times New Roman" w:eastAsia="方正仿宋_GBK" w:cs="Times New Roman"/>
          <w:sz w:val="32"/>
          <w:szCs w:val="32"/>
          <w:lang w:val="en-US" w:eastAsia="zh-CN"/>
        </w:rPr>
        <w:t>重庆市开州区新时代文明实践指导中心2</w:t>
      </w:r>
      <w:r>
        <w:rPr>
          <w:rFonts w:hint="default" w:ascii="Times New Roman" w:hAnsi="Times New Roman" w:eastAsia="方正仿宋_GBK" w:cs="Times New Roman"/>
          <w:sz w:val="32"/>
        </w:rPr>
        <w:t>024年部门预算公开报表</w:t>
      </w:r>
      <w:r>
        <w:rPr>
          <w:rFonts w:hint="default" w:ascii="Times New Roman" w:hAnsi="Times New Roman" w:eastAsia="方正仿宋_GBK" w:cs="Times New Roman"/>
          <w:sz w:val="32"/>
          <w:lang w:eastAsia="zh-CN"/>
        </w:rPr>
        <w:t>）</w:t>
      </w:r>
    </w:p>
    <w:p>
      <w:pPr>
        <w:pStyle w:val="2"/>
        <w:ind w:firstLine="4160" w:firstLineChars="1300"/>
        <w:rPr>
          <w:rFonts w:hint="default" w:ascii="Times New Roman" w:hAnsi="Times New Roman" w:eastAsia="方正仿宋_GBK" w:cs="Times New Roman"/>
          <w:kern w:val="2"/>
          <w:sz w:val="32"/>
          <w:szCs w:val="32"/>
          <w:lang w:val="en-US" w:eastAsia="zh-CN" w:bidi="ar-SA"/>
        </w:rPr>
      </w:pPr>
    </w:p>
    <w:p>
      <w:pPr>
        <w:pStyle w:val="2"/>
        <w:ind w:firstLine="4160" w:firstLineChars="1300"/>
        <w:rPr>
          <w:rFonts w:hint="default" w:ascii="Times New Roman" w:hAnsi="Times New Roman" w:eastAsia="方正仿宋_GBK" w:cs="Times New Roman"/>
          <w:kern w:val="2"/>
          <w:sz w:val="32"/>
          <w:szCs w:val="32"/>
          <w:lang w:val="en-US" w:eastAsia="zh-CN" w:bidi="ar-SA"/>
        </w:rPr>
      </w:pPr>
    </w:p>
    <w:p>
      <w:pPr>
        <w:pStyle w:val="2"/>
        <w:ind w:firstLine="4480" w:firstLineChars="14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中共重庆市开州区委宣传部</w:t>
      </w:r>
    </w:p>
    <w:p>
      <w:pPr>
        <w:pStyle w:val="2"/>
        <w:ind w:firstLine="5440" w:firstLineChars="17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2024年3月</w:t>
      </w:r>
      <w:r>
        <w:rPr>
          <w:rFonts w:hint="eastAsia" w:ascii="Times New Roman" w:hAnsi="Times New Roman" w:eastAsia="方正仿宋_GBK" w:cs="Times New Roman"/>
          <w:kern w:val="2"/>
          <w:sz w:val="32"/>
          <w:szCs w:val="32"/>
          <w:lang w:val="en-US" w:eastAsia="zh-CN" w:bidi="ar-SA"/>
        </w:rPr>
        <w:t>21</w:t>
      </w:r>
      <w:r>
        <w:rPr>
          <w:rFonts w:hint="default" w:ascii="Times New Roman" w:hAnsi="Times New Roman" w:eastAsia="方正仿宋_GBK" w:cs="Times New Roman"/>
          <w:kern w:val="2"/>
          <w:sz w:val="32"/>
          <w:szCs w:val="32"/>
          <w:lang w:val="en-US" w:eastAsia="zh-CN" w:bidi="ar-SA"/>
        </w:rPr>
        <w:t>日</w:t>
      </w:r>
    </w:p>
    <w:p>
      <w:pPr>
        <w:pStyle w:val="2"/>
        <w:ind w:firstLine="5120" w:firstLineChars="1600"/>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sz w:val="32"/>
          <w:lang w:val="en-US" w:eastAsia="zh-CN"/>
        </w:rPr>
      </w:pPr>
      <w:r>
        <w:rPr>
          <w:rFonts w:hint="default" w:ascii="Times New Roman" w:hAnsi="Times New Roman" w:eastAsia="方正仿宋_GBK" w:cs="Times New Roman"/>
          <w:b w:val="0"/>
          <w:bCs/>
          <w:sz w:val="32"/>
          <w:lang w:eastAsia="zh-CN"/>
        </w:rPr>
        <w:t>（</w:t>
      </w:r>
      <w:r>
        <w:rPr>
          <w:rFonts w:hint="default" w:ascii="Times New Roman" w:hAnsi="Times New Roman" w:eastAsia="方正仿宋_GBK" w:cs="Times New Roman"/>
          <w:b w:val="0"/>
          <w:bCs/>
          <w:sz w:val="32"/>
        </w:rPr>
        <w:t>部门预算公开联系人：</w:t>
      </w:r>
      <w:r>
        <w:rPr>
          <w:rFonts w:hint="default" w:ascii="Times New Roman" w:hAnsi="Times New Roman" w:eastAsia="方正仿宋_GBK" w:cs="Times New Roman"/>
          <w:b w:val="0"/>
          <w:bCs/>
          <w:sz w:val="32"/>
          <w:lang w:val="en-US" w:eastAsia="zh-CN"/>
        </w:rPr>
        <w:t>唐东；</w:t>
      </w:r>
      <w:r>
        <w:rPr>
          <w:rFonts w:hint="default" w:ascii="Times New Roman" w:hAnsi="Times New Roman" w:eastAsia="方正仿宋_GBK" w:cs="Times New Roman"/>
          <w:b w:val="0"/>
          <w:bCs/>
          <w:sz w:val="32"/>
        </w:rPr>
        <w:t>联系</w:t>
      </w:r>
      <w:r>
        <w:rPr>
          <w:rFonts w:hint="default" w:ascii="Times New Roman" w:hAnsi="Times New Roman" w:eastAsia="方正仿宋_GBK" w:cs="Times New Roman"/>
          <w:b w:val="0"/>
          <w:bCs/>
          <w:sz w:val="32"/>
          <w:lang w:eastAsia="zh-CN"/>
        </w:rPr>
        <w:t>电话</w:t>
      </w:r>
      <w:r>
        <w:rPr>
          <w:rFonts w:hint="default" w:ascii="Times New Roman" w:hAnsi="Times New Roman" w:eastAsia="方正仿宋_GBK" w:cs="Times New Roman"/>
          <w:b w:val="0"/>
          <w:bCs/>
          <w:sz w:val="32"/>
        </w:rPr>
        <w:t>：023-</w:t>
      </w:r>
      <w:r>
        <w:rPr>
          <w:rFonts w:hint="default" w:ascii="Times New Roman" w:hAnsi="Times New Roman" w:eastAsia="方正仿宋_GBK" w:cs="Times New Roman"/>
          <w:b w:val="0"/>
          <w:bCs/>
          <w:sz w:val="32"/>
          <w:lang w:val="en-US" w:eastAsia="zh-CN"/>
        </w:rPr>
        <w:t>52666131）</w:t>
      </w: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Style w:val="2"/>
        <w:rPr>
          <w:rFonts w:hint="default" w:ascii="Times New Roman" w:hAnsi="Times New Roman" w:eastAsia="方正仿宋_GBK" w:cs="Times New Roman"/>
          <w:b w:val="0"/>
          <w:bCs/>
          <w:sz w:val="32"/>
          <w:lang w:val="en-US" w:eastAsia="zh-CN"/>
        </w:rPr>
      </w:pPr>
    </w:p>
    <w:p>
      <w:pPr>
        <w:pBdr>
          <w:top w:val="single" w:color="auto" w:sz="4" w:space="0"/>
          <w:bottom w:val="single" w:color="auto" w:sz="4" w:space="0"/>
        </w:pBdr>
        <w:spacing w:line="579" w:lineRule="exact"/>
        <w:ind w:firstLine="280" w:firstLineChars="1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Cs/>
          <w:sz w:val="28"/>
          <w:szCs w:val="28"/>
        </w:rPr>
        <w:t xml:space="preserve">中共重庆市开州区委宣传部办公室       </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202</w:t>
      </w:r>
      <w:r>
        <w:rPr>
          <w:rFonts w:hint="default" w:ascii="Times New Roman" w:hAnsi="Times New Roman" w:eastAsia="方正仿宋_GBK" w:cs="Times New Roman"/>
          <w:bCs/>
          <w:sz w:val="28"/>
          <w:szCs w:val="28"/>
          <w:lang w:val="en-US" w:eastAsia="zh-CN"/>
        </w:rPr>
        <w:t>4</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21</w:t>
      </w:r>
      <w:r>
        <w:rPr>
          <w:rFonts w:hint="default" w:ascii="Times New Roman" w:hAnsi="Times New Roman" w:eastAsia="方正仿宋_GBK" w:cs="Times New Roman"/>
          <w:bCs/>
          <w:sz w:val="28"/>
          <w:szCs w:val="28"/>
        </w:rPr>
        <w:t>日印发</w:t>
      </w:r>
    </w:p>
    <w:sectPr>
      <w:footerReference r:id="rId3" w:type="default"/>
      <w:pgSz w:w="11906" w:h="16838"/>
      <w:pgMar w:top="1984" w:right="1446" w:bottom="1644" w:left="1446" w:header="851" w:footer="1304"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宋体"/>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158750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1312;mso-width-relative:page;mso-height-relative:page;" filled="f" stroked="f" coordsize="21600,21600" o:gfxdata="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3GgPdUAAAAH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2836545</wp:posOffset>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223.35pt;margin-top:0pt;height:144pt;width:6pt;mso-position-horizontal-relative:margin;z-index:251659264;mso-width-relative:page;mso-height-relative:page;" filled="f" stroked="f" coordsize="21600,21600" o:gfxdata="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KoHv1gAAAAgB&#10;AAAPAAAAAAAAAAEAIAAAACIAAABkcnMvZG93bnJldi54bWxQSwECFAAUAAAACACHTuJACp0nXR0C&#10;AAAdBAAADgAAAAAAAAABACAAAAAlAQAAZHJzL2Uyb0RvYy54bWxQSwUGAAAAAAYABgBZAQAAtAUA&#10;AAAA&#10;">
              <v:fill on="f" focussize="0,0"/>
              <v:stroke on="f" weight="0.5pt"/>
              <v:imagedata o:title=""/>
              <o:lock v:ext="edit" aspectratio="f"/>
              <v:textbox inset="0mm,0mm,0mm,0mm" style="mso-fit-shape-to-text:t;">
                <w:txbxContent>
                  <w:p>
                    <w:pPr>
                      <w:pStyle w:val="10"/>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zUzOTE4MzE4NTYxZDRlMTFhOTBiNDI1Njg3NGUifQ=="/>
    <w:docVar w:name="KSO_WPS_MARK_KEY" w:val="9330a768-bf3c-4eb6-b255-5a01199eb059"/>
  </w:docVars>
  <w:rsids>
    <w:rsidRoot w:val="4DBC67A9"/>
    <w:rsid w:val="006A2D24"/>
    <w:rsid w:val="00D249FB"/>
    <w:rsid w:val="00D91EDB"/>
    <w:rsid w:val="01891B53"/>
    <w:rsid w:val="026911FC"/>
    <w:rsid w:val="027C5214"/>
    <w:rsid w:val="02BB4ED6"/>
    <w:rsid w:val="078D1A95"/>
    <w:rsid w:val="0833776D"/>
    <w:rsid w:val="092666D2"/>
    <w:rsid w:val="098D0DD8"/>
    <w:rsid w:val="0A0B21FB"/>
    <w:rsid w:val="0C3836F4"/>
    <w:rsid w:val="0CE871B6"/>
    <w:rsid w:val="0E3A3B1A"/>
    <w:rsid w:val="0EEA31D3"/>
    <w:rsid w:val="104B4187"/>
    <w:rsid w:val="109A0F5B"/>
    <w:rsid w:val="111B04C7"/>
    <w:rsid w:val="11FF5B56"/>
    <w:rsid w:val="12387C06"/>
    <w:rsid w:val="1246257F"/>
    <w:rsid w:val="12961186"/>
    <w:rsid w:val="13031039"/>
    <w:rsid w:val="13BB19CE"/>
    <w:rsid w:val="14E31122"/>
    <w:rsid w:val="17E223DB"/>
    <w:rsid w:val="17F01F42"/>
    <w:rsid w:val="18114FE8"/>
    <w:rsid w:val="181C15B9"/>
    <w:rsid w:val="18652AC8"/>
    <w:rsid w:val="19C92FDD"/>
    <w:rsid w:val="1A36182D"/>
    <w:rsid w:val="1A5253DF"/>
    <w:rsid w:val="1A727837"/>
    <w:rsid w:val="1AF56597"/>
    <w:rsid w:val="1B297EAD"/>
    <w:rsid w:val="1B3E058A"/>
    <w:rsid w:val="1B8742F9"/>
    <w:rsid w:val="1BAD4F9E"/>
    <w:rsid w:val="1C5B36D3"/>
    <w:rsid w:val="1D7F7FE0"/>
    <w:rsid w:val="20ED24FB"/>
    <w:rsid w:val="244677DD"/>
    <w:rsid w:val="248A3369"/>
    <w:rsid w:val="24B6765B"/>
    <w:rsid w:val="25022DC4"/>
    <w:rsid w:val="25790BDA"/>
    <w:rsid w:val="25B2502E"/>
    <w:rsid w:val="26390EFC"/>
    <w:rsid w:val="26654355"/>
    <w:rsid w:val="26E002BE"/>
    <w:rsid w:val="296D4C0B"/>
    <w:rsid w:val="2A330C7A"/>
    <w:rsid w:val="2AF05EF0"/>
    <w:rsid w:val="2C24562C"/>
    <w:rsid w:val="2CE624D1"/>
    <w:rsid w:val="2DA1415C"/>
    <w:rsid w:val="2E057F04"/>
    <w:rsid w:val="2E561ED3"/>
    <w:rsid w:val="2EE55AD8"/>
    <w:rsid w:val="2F351477"/>
    <w:rsid w:val="2F5D16B0"/>
    <w:rsid w:val="2F62630B"/>
    <w:rsid w:val="30144BD3"/>
    <w:rsid w:val="322B3831"/>
    <w:rsid w:val="326B6757"/>
    <w:rsid w:val="32723633"/>
    <w:rsid w:val="33461DE2"/>
    <w:rsid w:val="33844C45"/>
    <w:rsid w:val="33C12876"/>
    <w:rsid w:val="35002009"/>
    <w:rsid w:val="3515679A"/>
    <w:rsid w:val="35466183"/>
    <w:rsid w:val="35D13ED9"/>
    <w:rsid w:val="364E4CF6"/>
    <w:rsid w:val="37CC6CEC"/>
    <w:rsid w:val="382035D1"/>
    <w:rsid w:val="38D57BC2"/>
    <w:rsid w:val="39003913"/>
    <w:rsid w:val="397E4FEA"/>
    <w:rsid w:val="399C0F19"/>
    <w:rsid w:val="3A242500"/>
    <w:rsid w:val="3A8873FD"/>
    <w:rsid w:val="3B7F0862"/>
    <w:rsid w:val="3BAC0FC9"/>
    <w:rsid w:val="3EBB19F1"/>
    <w:rsid w:val="3ECB7787"/>
    <w:rsid w:val="3ED62D4F"/>
    <w:rsid w:val="3FD43AD6"/>
    <w:rsid w:val="403B48C5"/>
    <w:rsid w:val="40CB6732"/>
    <w:rsid w:val="41A0057E"/>
    <w:rsid w:val="429878EC"/>
    <w:rsid w:val="42BE1D46"/>
    <w:rsid w:val="43040488"/>
    <w:rsid w:val="43465F0F"/>
    <w:rsid w:val="437B305E"/>
    <w:rsid w:val="43EB5D88"/>
    <w:rsid w:val="43FE22D0"/>
    <w:rsid w:val="44520441"/>
    <w:rsid w:val="44C00020"/>
    <w:rsid w:val="45C43470"/>
    <w:rsid w:val="472F1E22"/>
    <w:rsid w:val="47AE392C"/>
    <w:rsid w:val="484343D5"/>
    <w:rsid w:val="48667F49"/>
    <w:rsid w:val="48A25821"/>
    <w:rsid w:val="48BD345D"/>
    <w:rsid w:val="48F14EB5"/>
    <w:rsid w:val="49417976"/>
    <w:rsid w:val="49770DF4"/>
    <w:rsid w:val="49871F26"/>
    <w:rsid w:val="49BD3DAD"/>
    <w:rsid w:val="4A272558"/>
    <w:rsid w:val="4A447D8A"/>
    <w:rsid w:val="4AC12B32"/>
    <w:rsid w:val="4B7C0727"/>
    <w:rsid w:val="4BAE52DF"/>
    <w:rsid w:val="4DBC67A9"/>
    <w:rsid w:val="4F164509"/>
    <w:rsid w:val="4F295E47"/>
    <w:rsid w:val="50C56F4E"/>
    <w:rsid w:val="51566E22"/>
    <w:rsid w:val="5169196B"/>
    <w:rsid w:val="51CA1B46"/>
    <w:rsid w:val="51D873D0"/>
    <w:rsid w:val="5283164A"/>
    <w:rsid w:val="53301275"/>
    <w:rsid w:val="548D0545"/>
    <w:rsid w:val="54D766D7"/>
    <w:rsid w:val="5507664C"/>
    <w:rsid w:val="552411C2"/>
    <w:rsid w:val="554B6EC4"/>
    <w:rsid w:val="566A3F3F"/>
    <w:rsid w:val="569409DE"/>
    <w:rsid w:val="570F47B6"/>
    <w:rsid w:val="577962C2"/>
    <w:rsid w:val="578E4061"/>
    <w:rsid w:val="5843025D"/>
    <w:rsid w:val="5ADF4B57"/>
    <w:rsid w:val="5AF75049"/>
    <w:rsid w:val="5B3653D4"/>
    <w:rsid w:val="5CC91C41"/>
    <w:rsid w:val="5D272AE1"/>
    <w:rsid w:val="5D8075F5"/>
    <w:rsid w:val="5DB14AFC"/>
    <w:rsid w:val="5DC16436"/>
    <w:rsid w:val="5DE21F01"/>
    <w:rsid w:val="5E7A7FDC"/>
    <w:rsid w:val="5EF12187"/>
    <w:rsid w:val="5F3E38FA"/>
    <w:rsid w:val="5FFA413D"/>
    <w:rsid w:val="61BA6B57"/>
    <w:rsid w:val="62747D7C"/>
    <w:rsid w:val="62FE444C"/>
    <w:rsid w:val="6402554E"/>
    <w:rsid w:val="640770A3"/>
    <w:rsid w:val="6434661B"/>
    <w:rsid w:val="65C665BB"/>
    <w:rsid w:val="65F30F58"/>
    <w:rsid w:val="665B0975"/>
    <w:rsid w:val="66661BCD"/>
    <w:rsid w:val="66BB3E44"/>
    <w:rsid w:val="6A8661B0"/>
    <w:rsid w:val="6AE15578"/>
    <w:rsid w:val="6B903F22"/>
    <w:rsid w:val="6BBC7AC2"/>
    <w:rsid w:val="6D5946CA"/>
    <w:rsid w:val="6D5D6CCF"/>
    <w:rsid w:val="6DD35411"/>
    <w:rsid w:val="6DF90007"/>
    <w:rsid w:val="6E123B43"/>
    <w:rsid w:val="6E265C58"/>
    <w:rsid w:val="6F693780"/>
    <w:rsid w:val="6FA35B9C"/>
    <w:rsid w:val="702D0758"/>
    <w:rsid w:val="70D2729A"/>
    <w:rsid w:val="70FC2620"/>
    <w:rsid w:val="71A57E20"/>
    <w:rsid w:val="71DB657E"/>
    <w:rsid w:val="71DC1DB8"/>
    <w:rsid w:val="737C685B"/>
    <w:rsid w:val="73E50AFC"/>
    <w:rsid w:val="74376DFB"/>
    <w:rsid w:val="743E0F9D"/>
    <w:rsid w:val="75715D52"/>
    <w:rsid w:val="759F4046"/>
    <w:rsid w:val="75A24447"/>
    <w:rsid w:val="75B90E3A"/>
    <w:rsid w:val="75B94137"/>
    <w:rsid w:val="7601057E"/>
    <w:rsid w:val="76804D18"/>
    <w:rsid w:val="77062762"/>
    <w:rsid w:val="771A62C5"/>
    <w:rsid w:val="77CD3995"/>
    <w:rsid w:val="79B06826"/>
    <w:rsid w:val="7A067F11"/>
    <w:rsid w:val="7A7B22BD"/>
    <w:rsid w:val="7ADB27FC"/>
    <w:rsid w:val="7B9E1349"/>
    <w:rsid w:val="7CA95965"/>
    <w:rsid w:val="7CCB45D9"/>
    <w:rsid w:val="7CF118B7"/>
    <w:rsid w:val="7D46565E"/>
    <w:rsid w:val="7DCE4464"/>
    <w:rsid w:val="7E8236E1"/>
    <w:rsid w:val="7EEF0D58"/>
    <w:rsid w:val="7F1963CD"/>
    <w:rsid w:val="7F6525D5"/>
    <w:rsid w:val="7F7A759F"/>
    <w:rsid w:val="7F903427"/>
    <w:rsid w:val="7FE1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pPr>
      <w:numPr>
        <w:ilvl w:val="0"/>
        <w:numId w:val="1"/>
      </w:numPr>
      <w:tabs>
        <w:tab w:val="clear" w:pos="360"/>
      </w:tabs>
      <w:spacing w:after="120"/>
      <w:ind w:left="0" w:firstLine="0"/>
    </w:pPr>
  </w:style>
  <w:style w:type="paragraph" w:styleId="7">
    <w:name w:val="Normal Indent"/>
    <w:basedOn w:val="1"/>
    <w:next w:val="1"/>
    <w:qFormat/>
    <w:uiPriority w:val="0"/>
    <w:pPr>
      <w:ind w:firstLine="420" w:firstLineChars="2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next w:val="1"/>
    <w:qFormat/>
    <w:uiPriority w:val="0"/>
    <w:pPr>
      <w:widowControl w:val="0"/>
      <w:suppressAutoHyphens/>
      <w:ind w:left="1680"/>
      <w:jc w:val="both"/>
    </w:pPr>
    <w:rPr>
      <w:rFonts w:ascii="Calibri" w:hAnsi="Calibri" w:eastAsia="宋体" w:cs="Calibri"/>
      <w:kern w:val="2"/>
      <w:sz w:val="21"/>
      <w:szCs w:val="24"/>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qFormat/>
    <w:uiPriority w:val="99"/>
    <w:pPr>
      <w:spacing w:before="240" w:after="60"/>
      <w:outlineLvl w:val="0"/>
    </w:pPr>
    <w:rPr>
      <w:rFonts w:ascii="Arial" w:hAnsi="Arial" w:eastAsia="宋体" w:cs="Arial"/>
      <w:b/>
      <w:bCs/>
      <w:sz w:val="32"/>
      <w:szCs w:val="32"/>
    </w:rPr>
  </w:style>
  <w:style w:type="character" w:styleId="16">
    <w:name w:val="page number"/>
    <w:basedOn w:val="15"/>
    <w:qFormat/>
    <w:uiPriority w:val="0"/>
  </w:style>
  <w:style w:type="character" w:styleId="17">
    <w:name w:val="Hyperlink"/>
    <w:basedOn w:val="15"/>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after="500"/>
      <w:ind w:right="1280"/>
      <w:jc w:val="right"/>
    </w:pPr>
    <w:rPr>
      <w:sz w:val="32"/>
      <w:szCs w:val="32"/>
      <w:u w:val="none"/>
      <w:shd w:val="clear" w:color="auto" w:fill="auto"/>
      <w:lang w:val="zh-TW" w:eastAsia="zh-TW" w:bidi="zh-TW"/>
    </w:rPr>
  </w:style>
  <w:style w:type="character" w:customStyle="1" w:styleId="22">
    <w:name w:val="font31"/>
    <w:basedOn w:val="15"/>
    <w:qFormat/>
    <w:uiPriority w:val="0"/>
    <w:rPr>
      <w:rFonts w:hint="eastAsia" w:ascii="方正仿宋_GBK" w:hAnsi="方正仿宋_GBK" w:eastAsia="方正仿宋_GBK" w:cs="方正仿宋_GBK"/>
      <w:color w:val="000000"/>
      <w:sz w:val="16"/>
      <w:szCs w:val="16"/>
      <w:u w:val="none"/>
    </w:rPr>
  </w:style>
  <w:style w:type="paragraph" w:customStyle="1" w:styleId="23">
    <w:name w:val="List Paragraph"/>
    <w:basedOn w:val="1"/>
    <w:qFormat/>
    <w:uiPriority w:val="34"/>
    <w:pPr>
      <w:ind w:firstLine="420" w:firstLineChars="200"/>
    </w:pPr>
  </w:style>
  <w:style w:type="character" w:customStyle="1" w:styleId="24">
    <w:name w:val="font41"/>
    <w:basedOn w:val="15"/>
    <w:qFormat/>
    <w:uiPriority w:val="99"/>
    <w:rPr>
      <w:rFonts w:ascii="方正仿宋_GBK" w:hAnsi="方正仿宋_GBK" w:eastAsia="方正仿宋_GBK" w:cs="方正仿宋_GBK"/>
      <w:color w:val="000000"/>
      <w:sz w:val="24"/>
      <w:szCs w:val="24"/>
      <w:u w:val="none"/>
    </w:rPr>
  </w:style>
  <w:style w:type="character" w:customStyle="1" w:styleId="25">
    <w:name w:val="font51"/>
    <w:basedOn w:val="15"/>
    <w:qFormat/>
    <w:uiPriority w:val="0"/>
    <w:rPr>
      <w:rFonts w:hint="default" w:ascii="Times New Roman" w:hAnsi="Times New Roman" w:cs="Times New Roman"/>
      <w:color w:val="000000"/>
      <w:sz w:val="21"/>
      <w:szCs w:val="21"/>
      <w:u w:val="none"/>
    </w:rPr>
  </w:style>
  <w:style w:type="character" w:customStyle="1" w:styleId="26">
    <w:name w:val="font21"/>
    <w:basedOn w:val="15"/>
    <w:qFormat/>
    <w:uiPriority w:val="0"/>
    <w:rPr>
      <w:rFonts w:hint="eastAsia" w:ascii="方正仿宋_GBK" w:hAnsi="方正仿宋_GBK" w:eastAsia="方正仿宋_GBK" w:cs="方正仿宋_GBK"/>
      <w:color w:val="000000"/>
      <w:sz w:val="21"/>
      <w:szCs w:val="21"/>
      <w:u w:val="none"/>
    </w:rPr>
  </w:style>
  <w:style w:type="character" w:customStyle="1" w:styleId="27">
    <w:name w:val="font61"/>
    <w:basedOn w:val="15"/>
    <w:qFormat/>
    <w:uiPriority w:val="0"/>
    <w:rPr>
      <w:rFonts w:hint="eastAsia" w:ascii="方正仿宋_GBK" w:hAnsi="方正仿宋_GBK" w:eastAsia="方正仿宋_GBK" w:cs="方正仿宋_GBK"/>
      <w:color w:val="000000"/>
      <w:sz w:val="21"/>
      <w:szCs w:val="21"/>
      <w:u w:val="none"/>
    </w:rPr>
  </w:style>
  <w:style w:type="character" w:customStyle="1" w:styleId="28">
    <w:name w:val="font91"/>
    <w:basedOn w:val="15"/>
    <w:qFormat/>
    <w:uiPriority w:val="0"/>
    <w:rPr>
      <w:rFonts w:hint="default" w:ascii="Times New Roman" w:hAnsi="Times New Roman" w:cs="Times New Roman"/>
      <w:color w:val="000000"/>
      <w:sz w:val="21"/>
      <w:szCs w:val="21"/>
      <w:u w:val="none"/>
    </w:rPr>
  </w:style>
  <w:style w:type="character" w:customStyle="1" w:styleId="29">
    <w:name w:val="font11"/>
    <w:basedOn w:val="15"/>
    <w:qFormat/>
    <w:uiPriority w:val="0"/>
    <w:rPr>
      <w:rFonts w:hint="eastAsia" w:ascii="方正小标宋_GBK" w:hAnsi="方正小标宋_GBK" w:eastAsia="方正小标宋_GBK" w:cs="方正小标宋_GBK"/>
      <w:color w:val="000000"/>
      <w:sz w:val="40"/>
      <w:szCs w:val="40"/>
      <w:u w:val="none"/>
    </w:rPr>
  </w:style>
  <w:style w:type="character" w:customStyle="1" w:styleId="30">
    <w:name w:val="font101"/>
    <w:basedOn w:val="15"/>
    <w:qFormat/>
    <w:uiPriority w:val="0"/>
    <w:rPr>
      <w:rFonts w:ascii="方正书宋_GBK" w:hAnsi="方正书宋_GBK" w:eastAsia="方正书宋_GBK" w:cs="方正书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2261</Words>
  <Characters>2405</Characters>
  <Lines>0</Lines>
  <Paragraphs>0</Paragraphs>
  <ScaleCrop>false</ScaleCrop>
  <LinksUpToDate>false</LinksUpToDate>
  <CharactersWithSpaces>2420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2020-03-18T01:07:00Z</dcterms:created>
  <dc:creator>只言片语</dc:creator>
  <cp:lastModifiedBy>张雷</cp:lastModifiedBy>
  <cp:lastPrinted>2024-02-04T06:53:00Z</cp:lastPrinted>
  <dcterms:modified xsi:type="dcterms:W3CDTF">2024-03-28T09:43:26Z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627671049_cloud</vt:lpwstr>
  </property>
  <property fmtid="{D5CDD505-2E9C-101B-9397-08002B2CF9AE}" pid="4" name="ICV">
    <vt:lpwstr>70599FD8143E4AEA97ABF045F1D7943F_13</vt:lpwstr>
  </property>
</Properties>
</file>