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_GBK" w:hAnsi="华文中宋" w:eastAsia="方正仿宋_GBK" w:cs="华文中宋"/>
          <w:b/>
          <w:sz w:val="32"/>
          <w:szCs w:val="32"/>
        </w:rPr>
      </w:pPr>
    </w:p>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重庆市开州区临江镇中心卫生院</w:t>
      </w:r>
    </w:p>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2023年部门预算情况说明</w:t>
      </w:r>
    </w:p>
    <w:p>
      <w:pPr>
        <w:spacing w:line="600" w:lineRule="exact"/>
        <w:ind w:firstLine="880" w:firstLineChars="200"/>
        <w:jc w:val="center"/>
        <w:rPr>
          <w:rFonts w:ascii="华文中宋" w:hAnsi="华文中宋" w:eastAsia="华文中宋" w:cs="华文中宋"/>
          <w:sz w:val="44"/>
          <w:szCs w:val="44"/>
        </w:rPr>
      </w:pP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600" w:lineRule="exact"/>
        <w:ind w:firstLine="640"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sz w:val="32"/>
          <w:szCs w:val="32"/>
        </w:rPr>
        <w:t xml:space="preserve">我院是一所集医疗、科研、预防保健、健康管理为一体的一级甲等综合医院，主要为当地城乡居民提供基本医疗和健康档案管理、预防接种、健康教育、孕产妇健康管理、儿童健康管理、65岁以上老年人健康管理、慢病管理、结核病防治、严重精神障碍患者管理、卫生健康协管、计划生育技术指导、家庭医生签约等公共卫生服务，并承担辖区及周边乡镇的现场急救和转诊服务等工作的职能部门。 </w:t>
      </w:r>
    </w:p>
    <w:p>
      <w:pPr>
        <w:tabs>
          <w:tab w:val="center" w:pos="4153"/>
          <w:tab w:val="left" w:pos="7275"/>
        </w:tabs>
        <w:spacing w:line="600" w:lineRule="exact"/>
        <w:ind w:left="640"/>
        <w:jc w:val="left"/>
        <w:rPr>
          <w:rFonts w:hint="eastAsia" w:ascii="方正楷体_GBK" w:hAnsi="方正楷体_GBK" w:eastAsia="方正楷体_GBK" w:cs="方正楷体_GBK"/>
          <w:sz w:val="32"/>
          <w:szCs w:val="22"/>
        </w:rPr>
      </w:pPr>
      <w:r>
        <w:rPr>
          <w:rFonts w:hint="eastAsia" w:ascii="方正楷体_GBK" w:hAnsi="方正楷体_GBK" w:eastAsia="方正楷体_GBK" w:cs="方正楷体_GBK"/>
          <w:sz w:val="32"/>
          <w:szCs w:val="22"/>
        </w:rPr>
        <w:t>（二）单位构成</w:t>
      </w:r>
    </w:p>
    <w:p>
      <w:pPr>
        <w:spacing w:line="600" w:lineRule="exact"/>
        <w:ind w:left="420" w:leftChars="200"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开设预防保健科、内科、外科、妇产科、中医科、急诊科、放射科、检验科、超声科、心脑电图室等科室。</w:t>
      </w:r>
    </w:p>
    <w:p>
      <w:pPr>
        <w:spacing w:line="600" w:lineRule="exact"/>
        <w:ind w:left="420" w:leftChars="200" w:firstLine="320" w:firstLineChars="100"/>
      </w:pPr>
      <w:r>
        <w:rPr>
          <w:rFonts w:hint="eastAsia" w:ascii="方正仿宋_GBK" w:hAnsi="方正仿宋_GBK" w:eastAsia="方正仿宋_GBK" w:cs="方正仿宋_GBK"/>
          <w:sz w:val="32"/>
          <w:szCs w:val="32"/>
        </w:rPr>
        <w:t>从预算单位构成看，我单位为重庆市开州区卫生健康委员会下属二级预算单位。</w:t>
      </w:r>
    </w:p>
    <w:p>
      <w:pPr>
        <w:spacing w:line="600" w:lineRule="exact"/>
        <w:ind w:left="640"/>
        <w:rPr>
          <w:rFonts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（一）收入预算：2023年年初预算数</w:t>
      </w:r>
      <w:r>
        <w:rPr>
          <w:rFonts w:ascii="方正仿宋_GBK" w:hAnsi="仿宋_GB2312" w:eastAsia="方正仿宋_GBK" w:cs="仿宋_GB2312"/>
          <w:sz w:val="32"/>
        </w:rPr>
        <w:t>6387.7</w:t>
      </w:r>
      <w:r>
        <w:rPr>
          <w:rFonts w:hint="eastAsia" w:ascii="方正仿宋_GBK" w:hAnsi="仿宋_GB2312" w:eastAsia="方正仿宋_GBK" w:cs="仿宋_GB2312"/>
          <w:sz w:val="32"/>
        </w:rPr>
        <w:t>万元，其中：一般公共预算拨款</w:t>
      </w:r>
      <w:r>
        <w:rPr>
          <w:rFonts w:ascii="方正仿宋_GBK" w:hAnsi="仿宋_GB2312" w:eastAsia="方正仿宋_GBK" w:cs="仿宋_GB2312"/>
          <w:sz w:val="32"/>
        </w:rPr>
        <w:t>1628.03</w:t>
      </w:r>
      <w:r>
        <w:rPr>
          <w:rFonts w:hint="eastAsia" w:ascii="方正仿宋_GBK" w:hAnsi="仿宋_GB2312" w:eastAsia="方正仿宋_GBK" w:cs="仿宋_GB2312"/>
          <w:sz w:val="32"/>
        </w:rPr>
        <w:t>万元，政府性基金预算拨款0万元，国有资本经营预算收入0万元，事业收入</w:t>
      </w:r>
      <w:r>
        <w:rPr>
          <w:rFonts w:ascii="方正仿宋_GBK" w:hAnsi="仿宋_GB2312" w:eastAsia="方正仿宋_GBK" w:cs="仿宋_GB2312"/>
          <w:sz w:val="32"/>
        </w:rPr>
        <w:t>4759.6</w:t>
      </w:r>
      <w:r>
        <w:rPr>
          <w:rFonts w:hint="eastAsia" w:ascii="方正仿宋_GBK" w:hAnsi="仿宋_GB2312" w:eastAsia="方正仿宋_GBK" w:cs="仿宋_GB2312"/>
          <w:sz w:val="32"/>
        </w:rPr>
        <w:t>7万元，事业单位经营收入0万元，其他收入0万元。收入较2022年增加</w:t>
      </w:r>
      <w:r>
        <w:rPr>
          <w:rFonts w:ascii="方正仿宋_GBK" w:hAnsi="仿宋_GB2312" w:eastAsia="方正仿宋_GBK" w:cs="仿宋_GB2312"/>
          <w:sz w:val="32"/>
        </w:rPr>
        <w:t>893.09</w:t>
      </w:r>
      <w:r>
        <w:rPr>
          <w:rFonts w:hint="eastAsia" w:ascii="方正仿宋_GBK" w:hAnsi="仿宋_GB2312" w:eastAsia="方正仿宋_GBK" w:cs="仿宋_GB2312"/>
          <w:sz w:val="32"/>
        </w:rPr>
        <w:t>万元，事业收入增加</w:t>
      </w:r>
      <w:r>
        <w:rPr>
          <w:rFonts w:ascii="方正仿宋_GBK" w:hAnsi="仿宋_GB2312" w:eastAsia="方正仿宋_GBK" w:cs="仿宋_GB2312"/>
          <w:sz w:val="32"/>
        </w:rPr>
        <w:t>759.6</w:t>
      </w:r>
      <w:r>
        <w:rPr>
          <w:rFonts w:hint="eastAsia" w:ascii="方正仿宋_GBK" w:hAnsi="仿宋_GB2312" w:eastAsia="方正仿宋_GBK" w:cs="仿宋_GB2312"/>
          <w:sz w:val="32"/>
        </w:rPr>
        <w:t>7万元，一般公共预算拨款增加</w:t>
      </w:r>
      <w:r>
        <w:rPr>
          <w:rFonts w:ascii="方正仿宋_GBK" w:hAnsi="仿宋_GB2312" w:eastAsia="方正仿宋_GBK" w:cs="仿宋_GB2312"/>
          <w:sz w:val="32"/>
        </w:rPr>
        <w:t>133.42</w:t>
      </w:r>
      <w:r>
        <w:rPr>
          <w:rFonts w:hint="eastAsia" w:ascii="方正仿宋_GBK" w:hAnsi="仿宋_GB2312" w:eastAsia="方正仿宋_GBK" w:cs="仿宋_GB2312"/>
          <w:sz w:val="32"/>
        </w:rPr>
        <w:t>万元。</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（二）支出预算：2023年年初预算数</w:t>
      </w:r>
      <w:r>
        <w:rPr>
          <w:rFonts w:ascii="方正仿宋_GBK" w:hAnsi="仿宋_GB2312" w:eastAsia="方正仿宋_GBK" w:cs="仿宋_GB2312"/>
          <w:sz w:val="32"/>
        </w:rPr>
        <w:t>6387.7</w:t>
      </w:r>
      <w:r>
        <w:rPr>
          <w:rFonts w:hint="eastAsia" w:ascii="方正仿宋_GBK" w:hAnsi="仿宋_GB2312" w:eastAsia="方正仿宋_GBK" w:cs="仿宋_GB2312"/>
          <w:sz w:val="32"/>
        </w:rPr>
        <w:t>万元，其中：一般公共服务支出预算0万元，教育支出预算0万元，社会保障和就业支出预算521.4万元，卫生健康支出预算</w:t>
      </w:r>
      <w:r>
        <w:rPr>
          <w:rFonts w:ascii="方正仿宋_GBK" w:hAnsi="仿宋_GB2312" w:eastAsia="方正仿宋_GBK" w:cs="仿宋_GB2312"/>
          <w:sz w:val="32"/>
        </w:rPr>
        <w:t>5728.65</w:t>
      </w:r>
      <w:r>
        <w:rPr>
          <w:rFonts w:hint="eastAsia" w:ascii="方正仿宋_GBK" w:hAnsi="仿宋_GB2312" w:eastAsia="方正仿宋_GBK" w:cs="仿宋_GB2312"/>
          <w:sz w:val="32"/>
        </w:rPr>
        <w:t>万元，住房保障支出预算</w:t>
      </w:r>
      <w:r>
        <w:rPr>
          <w:rFonts w:ascii="方正仿宋_GBK" w:hAnsi="仿宋_GB2312" w:eastAsia="方正仿宋_GBK" w:cs="仿宋_GB2312"/>
          <w:sz w:val="32"/>
        </w:rPr>
        <w:t>137.65</w:t>
      </w:r>
      <w:r>
        <w:rPr>
          <w:rFonts w:hint="eastAsia" w:ascii="方正仿宋_GBK" w:hAnsi="仿宋_GB2312" w:eastAsia="方正仿宋_GBK" w:cs="仿宋_GB2312"/>
          <w:sz w:val="32"/>
        </w:rPr>
        <w:t>万元。支出预算较2022年增加982.16万元，主要是基本支出预算增加982.92万元,</w:t>
      </w:r>
      <w:r>
        <w:rPr>
          <w:rFonts w:hint="eastAsia"/>
        </w:rPr>
        <w:t xml:space="preserve"> </w:t>
      </w:r>
      <w:r>
        <w:rPr>
          <w:rFonts w:hint="eastAsia" w:ascii="方正仿宋_GBK" w:hAnsi="仿宋_GB2312" w:eastAsia="方正仿宋_GBK" w:cs="仿宋_GB2312"/>
          <w:sz w:val="32"/>
        </w:rPr>
        <w:t>项目支出预算减少0.76万元。</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2023年一般公共预算财政拨款收入</w:t>
      </w:r>
      <w:r>
        <w:rPr>
          <w:rFonts w:ascii="方正仿宋_GBK" w:hAnsi="仿宋_GB2312" w:eastAsia="方正仿宋_GBK" w:cs="仿宋_GB2312"/>
          <w:sz w:val="32"/>
        </w:rPr>
        <w:t>1628.03</w:t>
      </w:r>
      <w:r>
        <w:rPr>
          <w:rFonts w:hint="eastAsia" w:ascii="方正仿宋_GBK" w:hAnsi="仿宋_GB2312" w:eastAsia="方正仿宋_GBK" w:cs="仿宋_GB2312"/>
          <w:sz w:val="32"/>
        </w:rPr>
        <w:t>万元，一般公共预算财政拨款支出</w:t>
      </w:r>
      <w:r>
        <w:rPr>
          <w:rFonts w:ascii="方正仿宋_GBK" w:hAnsi="仿宋_GB2312" w:eastAsia="方正仿宋_GBK" w:cs="仿宋_GB2312"/>
          <w:sz w:val="32"/>
        </w:rPr>
        <w:t>1628.03</w:t>
      </w:r>
      <w:r>
        <w:rPr>
          <w:rFonts w:hint="eastAsia" w:ascii="方正仿宋_GBK" w:hAnsi="仿宋_GB2312" w:eastAsia="方正仿宋_GBK" w:cs="仿宋_GB2312"/>
          <w:sz w:val="32"/>
        </w:rPr>
        <w:t>万元，比2022年增加133.42万元。其中：基本支出</w:t>
      </w:r>
      <w:r>
        <w:rPr>
          <w:rFonts w:ascii="方正仿宋_GBK" w:hAnsi="仿宋_GB2312" w:eastAsia="方正仿宋_GBK" w:cs="仿宋_GB2312"/>
          <w:sz w:val="32"/>
        </w:rPr>
        <w:t>1622.36</w:t>
      </w:r>
      <w:r>
        <w:rPr>
          <w:rFonts w:hint="eastAsia" w:ascii="方正仿宋_GBK" w:hAnsi="仿宋_GB2312" w:eastAsia="方正仿宋_GBK" w:cs="仿宋_GB2312"/>
          <w:sz w:val="32"/>
        </w:rPr>
        <w:t>万元，比2022年增加134.18万元，其原因是人员基本工资增加，主要用于保障在职人员工资福利及社会保险缴费，退休人员补助等，保障部门正常运转的各项商品服务支出；项目支出5.67万元，比2022年减少0.76万元，主要原因是遗属人员减员。</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重庆市开州区临江镇中心卫生院2023年无使用政府性基金预算拨款安排的支出。</w:t>
      </w:r>
    </w:p>
    <w:p>
      <w:pPr>
        <w:spacing w:line="600" w:lineRule="exact"/>
        <w:ind w:left="640"/>
        <w:rPr>
          <w:rFonts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600" w:lineRule="exact"/>
        <w:ind w:firstLine="640" w:firstLineChars="200"/>
        <w:rPr>
          <w:rStyle w:val="10"/>
          <w:rFonts w:ascii="方正仿宋_GBK" w:hAnsi="方正仿宋_GBK" w:eastAsia="方正仿宋_GBK" w:cs="方正仿宋_GBK"/>
          <w:b w:val="0"/>
          <w:sz w:val="32"/>
          <w:szCs w:val="32"/>
          <w:shd w:val="clear" w:color="auto" w:fill="FFFFFF"/>
        </w:rPr>
      </w:pPr>
      <w:r>
        <w:rPr>
          <w:rStyle w:val="10"/>
          <w:rFonts w:hint="eastAsia" w:ascii="方正仿宋_GBK" w:hAnsi="方正仿宋_GBK" w:eastAsia="方正仿宋_GBK" w:cs="方正仿宋_GBK"/>
          <w:b w:val="0"/>
          <w:sz w:val="32"/>
          <w:szCs w:val="32"/>
          <w:shd w:val="clear" w:color="auto" w:fill="FFFFFF"/>
          <w:lang w:eastAsia="zh-CN"/>
        </w:rPr>
        <w:t>我单位</w:t>
      </w:r>
      <w:r>
        <w:rPr>
          <w:rStyle w:val="10"/>
          <w:rFonts w:hint="eastAsia" w:ascii="方正仿宋_GBK" w:hAnsi="方正仿宋_GBK" w:eastAsia="方正仿宋_GBK" w:cs="方正仿宋_GBK"/>
          <w:b w:val="0"/>
          <w:sz w:val="32"/>
          <w:szCs w:val="32"/>
          <w:shd w:val="clear" w:color="auto" w:fill="FFFFFF"/>
        </w:rPr>
        <w:t>属于差额拨款事业单位，财政没有保障“三公”经费</w:t>
      </w:r>
      <w:r>
        <w:rPr>
          <w:rStyle w:val="10"/>
          <w:rFonts w:hint="eastAsia" w:ascii="方正仿宋_GBK" w:hAnsi="方正仿宋_GBK" w:eastAsia="方正仿宋_GBK" w:cs="方正仿宋_GBK"/>
          <w:b w:val="0"/>
          <w:sz w:val="32"/>
          <w:szCs w:val="32"/>
          <w:shd w:val="clear" w:color="auto" w:fill="FFFFFF"/>
          <w:lang w:eastAsia="zh-CN"/>
        </w:rPr>
        <w:t>，</w:t>
      </w:r>
      <w:r>
        <w:rPr>
          <w:rFonts w:hint="eastAsia" w:ascii="方正仿宋_GBK" w:hAnsi="方正仿宋_GBK" w:eastAsia="方正仿宋_GBK" w:cs="方正仿宋_GBK"/>
          <w:bCs/>
          <w:sz w:val="32"/>
          <w:szCs w:val="32"/>
        </w:rPr>
        <w:t>“三公”经费为0</w:t>
      </w:r>
      <w:r>
        <w:rPr>
          <w:rFonts w:hint="eastAsia" w:ascii="方正仿宋_GBK" w:hAnsi="方正仿宋_GBK" w:eastAsia="方正仿宋_GBK" w:cs="方正仿宋_GBK"/>
          <w:bCs/>
          <w:sz w:val="32"/>
          <w:szCs w:val="32"/>
          <w:lang w:eastAsia="zh-CN"/>
        </w:rPr>
        <w:t>万元</w:t>
      </w:r>
      <w:r>
        <w:rPr>
          <w:rStyle w:val="10"/>
          <w:rFonts w:hint="eastAsia" w:ascii="方正仿宋_GBK" w:hAnsi="方正仿宋_GBK" w:eastAsia="方正仿宋_GBK" w:cs="方正仿宋_GBK"/>
          <w:b w:val="0"/>
          <w:sz w:val="32"/>
          <w:szCs w:val="32"/>
          <w:shd w:val="clear" w:color="auto" w:fill="FFFFFF"/>
        </w:rPr>
        <w:t>。</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2、政府采购情况。</w:t>
      </w:r>
      <w:r>
        <w:rPr>
          <w:rFonts w:hint="eastAsia" w:ascii="方正仿宋_GBK" w:hAnsi="仿宋_GB2312" w:eastAsia="方正仿宋_GBK" w:cs="仿宋_GB2312"/>
          <w:sz w:val="32"/>
          <w:lang w:eastAsia="zh-CN"/>
        </w:rPr>
        <w:t>我</w:t>
      </w:r>
      <w:r>
        <w:rPr>
          <w:rFonts w:hint="eastAsia" w:ascii="方正仿宋_GBK" w:hAnsi="仿宋_GB2312" w:eastAsia="方正仿宋_GBK" w:cs="仿宋_GB2312"/>
          <w:sz w:val="32"/>
        </w:rPr>
        <w:t>单位政府采购预算总额  万元：政府采购货物预算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万元；其中一般公共预算拨款政府采购  万元：政府采购货物预算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万元、政府采购服务预算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、绩效目标设置情况。2023年项目支出均实行了绩效目标管理，涉及一般公共预算当年财政拨款5.67万元。</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sz w:val="32"/>
        </w:rPr>
        <w:t>4、国有资产占有使用情况。</w:t>
      </w:r>
      <w:r>
        <w:rPr>
          <w:rFonts w:hint="eastAsia" w:ascii="方正仿宋_GBK" w:hAnsi="仿宋_GB2312" w:eastAsia="方正仿宋_GBK" w:cs="仿宋_GB2312"/>
          <w:color w:val="000000"/>
          <w:sz w:val="32"/>
          <w:lang w:val="en-US" w:eastAsia="zh-CN"/>
        </w:rPr>
        <w:t>截至</w:t>
      </w:r>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2</w:t>
      </w:r>
      <w:r>
        <w:rPr>
          <w:rFonts w:hint="eastAsia" w:ascii="方正仿宋_GBK" w:hAnsi="仿宋_GB2312" w:eastAsia="方正仿宋_GBK" w:cs="仿宋_GB2312"/>
          <w:color w:val="000000"/>
          <w:sz w:val="32"/>
        </w:rPr>
        <w:t>年12月，</w:t>
      </w:r>
      <w:r>
        <w:rPr>
          <w:rFonts w:hint="eastAsia" w:ascii="方正仿宋_GBK" w:hAnsi="仿宋_GB2312" w:eastAsia="方正仿宋_GBK" w:cs="仿宋_GB2312"/>
          <w:color w:val="000000"/>
          <w:sz w:val="32"/>
          <w:lang w:eastAsia="zh-CN"/>
        </w:rPr>
        <w:t>我</w:t>
      </w:r>
      <w:r>
        <w:rPr>
          <w:rFonts w:hint="eastAsia" w:ascii="方正仿宋_GBK" w:hAnsi="仿宋_GB2312" w:eastAsia="方正仿宋_GBK" w:cs="仿宋_GB2312"/>
          <w:color w:val="000000"/>
          <w:sz w:val="32"/>
        </w:rPr>
        <w:t>单位共有车辆</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辆，其中一般公务用</w:t>
      </w:r>
      <w:r>
        <w:rPr>
          <w:rFonts w:hint="eastAsia" w:ascii="方正仿宋_GBK" w:hAnsi="仿宋_GB2312" w:eastAsia="方正仿宋_GBK" w:cs="仿宋_GB2312"/>
          <w:color w:val="000000"/>
          <w:sz w:val="32"/>
          <w:lang w:val="en-US" w:eastAsia="zh-CN"/>
        </w:rPr>
        <w:t>车</w:t>
      </w:r>
      <w:bookmarkStart w:id="0" w:name="_GoBack"/>
      <w:bookmarkEnd w:id="0"/>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r>
        <w:rPr>
          <w:rStyle w:val="10"/>
          <w:rFonts w:hint="eastAsia" w:ascii="方正仿宋_GBK" w:hAnsi="方正仿宋_GBK" w:eastAsia="方正仿宋_GBK" w:cs="方正仿宋_GBK"/>
          <w:b w:val="0"/>
          <w:sz w:val="32"/>
          <w:szCs w:val="32"/>
          <w:shd w:val="clear" w:color="auto" w:fill="FFFFFF"/>
        </w:rPr>
        <w:t>救护车3辆</w:t>
      </w:r>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年一般公共预算安排购置车辆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tabs>
          <w:tab w:val="center" w:pos="4153"/>
          <w:tab w:val="left" w:pos="7275"/>
        </w:tabs>
        <w:spacing w:line="600" w:lineRule="exact"/>
        <w:ind w:firstLine="640" w:firstLineChars="200"/>
        <w:jc w:val="left"/>
        <w:rPr>
          <w:rFonts w:ascii="方正仿宋_GBK" w:hAnsi="Calibri" w:eastAsia="方正仿宋_GBK"/>
          <w:sz w:val="32"/>
          <w:szCs w:val="32"/>
        </w:rPr>
      </w:pPr>
      <w:r>
        <w:rPr>
          <w:rFonts w:hint="eastAsia" w:ascii="方正仿宋_GBK" w:hAnsi="Calibri" w:eastAsia="方正仿宋_GBK"/>
          <w:sz w:val="32"/>
          <w:szCs w:val="32"/>
        </w:rPr>
        <w:t>（一）财政拨款收入：指本年度从本级财政部门取得的财政拨款，包括一般公共预算财政拨款和政府性基金预算财政拨款。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ascii="方正仿宋_GBK" w:hAnsi="Calibri" w:eastAsia="方正仿宋_GBK"/>
          <w:sz w:val="32"/>
          <w:szCs w:val="32"/>
        </w:rPr>
      </w:pPr>
      <w:r>
        <w:rPr>
          <w:rFonts w:hint="eastAsia" w:ascii="方正仿宋_GBK" w:hAnsi="Calibri" w:eastAsia="方正仿宋_GBK"/>
          <w:sz w:val="32"/>
          <w:szCs w:val="32"/>
        </w:rPr>
        <w:t>（二）其他收入：指单位取得的除“财政拨款收入”、“事业收入”、“经营收入”等以外的收入。</w:t>
      </w:r>
    </w:p>
    <w:p>
      <w:pPr>
        <w:tabs>
          <w:tab w:val="center" w:pos="4153"/>
          <w:tab w:val="left" w:pos="7275"/>
        </w:tabs>
        <w:spacing w:line="600" w:lineRule="exact"/>
        <w:ind w:firstLine="640" w:firstLineChars="200"/>
        <w:jc w:val="left"/>
        <w:rPr>
          <w:rFonts w:ascii="方正仿宋_GBK" w:hAnsi="Calibri" w:eastAsia="方正仿宋_GBK"/>
          <w:sz w:val="32"/>
          <w:szCs w:val="32"/>
        </w:rPr>
      </w:pPr>
      <w:r>
        <w:rPr>
          <w:rFonts w:hint="eastAsia" w:ascii="方正仿宋_GBK" w:hAnsi="Calibri" w:eastAsia="方正仿宋_GBK"/>
          <w:sz w:val="32"/>
          <w:szCs w:val="32"/>
        </w:rPr>
        <w:t>（三）基本支出：指为保障机构正常运转、完成日常工作任务而发生的人员经费和公用经费。</w:t>
      </w:r>
    </w:p>
    <w:p>
      <w:pPr>
        <w:tabs>
          <w:tab w:val="center" w:pos="4153"/>
          <w:tab w:val="left" w:pos="7275"/>
        </w:tabs>
        <w:spacing w:line="600" w:lineRule="exact"/>
        <w:ind w:firstLine="640" w:firstLineChars="200"/>
        <w:jc w:val="left"/>
        <w:rPr>
          <w:rFonts w:ascii="方正仿宋_GBK" w:hAnsi="Calibri" w:eastAsia="方正仿宋_GBK"/>
          <w:sz w:val="32"/>
          <w:szCs w:val="32"/>
        </w:rPr>
      </w:pPr>
      <w:r>
        <w:rPr>
          <w:rFonts w:hint="eastAsia" w:ascii="方正仿宋_GBK" w:hAnsi="Calibri" w:eastAsia="方正仿宋_GBK"/>
          <w:sz w:val="32"/>
          <w:szCs w:val="32"/>
        </w:rPr>
        <w:t>（四）项目支出：指在基本支出之外为完成特定行政任务和事业发展目标所发生的支出。</w:t>
      </w:r>
    </w:p>
    <w:p>
      <w:pPr>
        <w:ind w:firstLine="640" w:firstLineChars="200"/>
        <w:rPr>
          <w:rFonts w:ascii="方正仿宋_GBK" w:hAnsi="仿宋_GB2312" w:eastAsia="方正仿宋_GBK" w:cs="仿宋_GB2312"/>
          <w:sz w:val="32"/>
        </w:rPr>
      </w:pPr>
      <w:r>
        <w:rPr>
          <w:rFonts w:hint="eastAsia" w:ascii="方正仿宋_GBK" w:hAnsi="Calibri"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ascii="方正仿宋_GBK" w:hAnsi="Calibri" w:eastAsia="方正仿宋_GBK"/>
          <w:b/>
          <w:sz w:val="32"/>
        </w:rPr>
      </w:pPr>
      <w:r>
        <w:rPr>
          <w:rFonts w:hint="eastAsia" w:ascii="方正仿宋_GBK" w:hAnsi="仿宋_GB2312" w:eastAsia="方正仿宋_GBK" w:cs="仿宋_GB2312"/>
          <w:b/>
          <w:sz w:val="32"/>
        </w:rPr>
        <w:t>部门预算公开联系人：傅征伟  　联系方式：</w:t>
      </w:r>
      <w:r>
        <w:rPr>
          <w:rFonts w:hint="eastAsia" w:ascii="方正仿宋_GBK" w:hAnsi="Calibri" w:eastAsia="方正仿宋_GBK"/>
          <w:b/>
          <w:sz w:val="32"/>
        </w:rPr>
        <w:t>（电话：023-52811933）</w:t>
      </w:r>
    </w:p>
    <w:p>
      <w:pPr>
        <w:pStyle w:val="2"/>
        <w:rPr>
          <w:rFonts w:ascii="方正仿宋_GBK" w:hAnsi="Calibri" w:eastAsia="方正仿宋_GBK"/>
          <w:b/>
          <w:sz w:val="32"/>
        </w:rPr>
      </w:pPr>
    </w:p>
    <w:p>
      <w:pPr>
        <w:pStyle w:val="3"/>
        <w:rPr>
          <w:rFonts w:ascii="方正仿宋_GBK" w:hAnsi="Calibri" w:eastAsia="方正仿宋_GBK"/>
          <w:b/>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8E52B17"/>
    <w:rsid w:val="0000431F"/>
    <w:rsid w:val="00006159"/>
    <w:rsid w:val="000A3EED"/>
    <w:rsid w:val="0013213A"/>
    <w:rsid w:val="001B620C"/>
    <w:rsid w:val="001D0385"/>
    <w:rsid w:val="001F2D65"/>
    <w:rsid w:val="001F5119"/>
    <w:rsid w:val="00211FC2"/>
    <w:rsid w:val="00265EFF"/>
    <w:rsid w:val="002764FC"/>
    <w:rsid w:val="002A3B7D"/>
    <w:rsid w:val="002F0C13"/>
    <w:rsid w:val="003472EC"/>
    <w:rsid w:val="00415AC0"/>
    <w:rsid w:val="00421877"/>
    <w:rsid w:val="00466047"/>
    <w:rsid w:val="004D2CF9"/>
    <w:rsid w:val="004D3CAE"/>
    <w:rsid w:val="0053478E"/>
    <w:rsid w:val="00541972"/>
    <w:rsid w:val="0055052B"/>
    <w:rsid w:val="005F1693"/>
    <w:rsid w:val="00691789"/>
    <w:rsid w:val="006F0615"/>
    <w:rsid w:val="0073292F"/>
    <w:rsid w:val="00743963"/>
    <w:rsid w:val="0075560E"/>
    <w:rsid w:val="007C2EB1"/>
    <w:rsid w:val="007F5DF3"/>
    <w:rsid w:val="00817343"/>
    <w:rsid w:val="00850FEB"/>
    <w:rsid w:val="008610A2"/>
    <w:rsid w:val="009032A9"/>
    <w:rsid w:val="00983DD9"/>
    <w:rsid w:val="00993DF8"/>
    <w:rsid w:val="009B2683"/>
    <w:rsid w:val="009D6DF5"/>
    <w:rsid w:val="00A113AA"/>
    <w:rsid w:val="00A61BF9"/>
    <w:rsid w:val="00A901FB"/>
    <w:rsid w:val="00A92735"/>
    <w:rsid w:val="00B14DCE"/>
    <w:rsid w:val="00B322DD"/>
    <w:rsid w:val="00B4227B"/>
    <w:rsid w:val="00B5738D"/>
    <w:rsid w:val="00B64BFE"/>
    <w:rsid w:val="00BB05AD"/>
    <w:rsid w:val="00BB5E68"/>
    <w:rsid w:val="00C26A40"/>
    <w:rsid w:val="00C42FE1"/>
    <w:rsid w:val="00D42067"/>
    <w:rsid w:val="00D51462"/>
    <w:rsid w:val="00D54A21"/>
    <w:rsid w:val="00D77875"/>
    <w:rsid w:val="00E0268C"/>
    <w:rsid w:val="00E96017"/>
    <w:rsid w:val="00ED7CAA"/>
    <w:rsid w:val="00EE4B83"/>
    <w:rsid w:val="00F512E4"/>
    <w:rsid w:val="00FC4515"/>
    <w:rsid w:val="016A44B9"/>
    <w:rsid w:val="01B64BD4"/>
    <w:rsid w:val="0BBC1CE4"/>
    <w:rsid w:val="0DE135C5"/>
    <w:rsid w:val="14446BDE"/>
    <w:rsid w:val="163B617B"/>
    <w:rsid w:val="1B81620D"/>
    <w:rsid w:val="32EE04E3"/>
    <w:rsid w:val="38A517AA"/>
    <w:rsid w:val="3A8416BB"/>
    <w:rsid w:val="48134556"/>
    <w:rsid w:val="589D7591"/>
    <w:rsid w:val="60051E7F"/>
    <w:rsid w:val="686A7D14"/>
    <w:rsid w:val="6A4E197B"/>
    <w:rsid w:val="74076648"/>
    <w:rsid w:val="74492009"/>
    <w:rsid w:val="78E52B17"/>
    <w:rsid w:val="7A6F7B1A"/>
    <w:rsid w:val="7BFC1EB1"/>
    <w:rsid w:val="7E535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3"/>
    <w:unhideWhenUsed/>
    <w:uiPriority w:val="99"/>
    <w:pPr>
      <w:tabs>
        <w:tab w:val="center" w:pos="4153"/>
        <w:tab w:val="right" w:pos="8306"/>
      </w:tabs>
      <w:snapToGrid w:val="0"/>
      <w:jc w:val="left"/>
    </w:pPr>
    <w:rPr>
      <w:kern w:val="0"/>
      <w:sz w:val="18"/>
      <w:szCs w:val="18"/>
    </w:rPr>
  </w:style>
  <w:style w:type="paragraph" w:customStyle="1" w:styleId="3">
    <w:name w:val="索引 51"/>
    <w:basedOn w:val="1"/>
    <w:next w:val="1"/>
    <w:qFormat/>
    <w:uiPriority w:val="0"/>
    <w:pPr>
      <w:ind w:left="1680"/>
    </w:p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kern w:val="0"/>
      <w:sz w:val="24"/>
    </w:rPr>
  </w:style>
  <w:style w:type="paragraph" w:customStyle="1" w:styleId="8">
    <w:name w:val="列出段落1"/>
    <w:basedOn w:val="1"/>
    <w:qFormat/>
    <w:uiPriority w:val="34"/>
    <w:pPr>
      <w:ind w:firstLine="420" w:firstLineChars="200"/>
    </w:pPr>
  </w:style>
  <w:style w:type="character" w:customStyle="1" w:styleId="9">
    <w:name w:val="页眉 Char"/>
    <w:basedOn w:val="6"/>
    <w:link w:val="4"/>
    <w:qFormat/>
    <w:uiPriority w:val="0"/>
    <w:rPr>
      <w:rFonts w:ascii="Times New Roman" w:hAnsi="Times New Roman" w:eastAsia="宋体" w:cs="Times New Roman"/>
      <w:kern w:val="2"/>
      <w:sz w:val="18"/>
      <w:szCs w:val="18"/>
    </w:rPr>
  </w:style>
  <w:style w:type="character" w:customStyle="1" w:styleId="10">
    <w:name w:val="15"/>
    <w:basedOn w:val="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239</Words>
  <Characters>1364</Characters>
  <Lines>11</Lines>
  <Paragraphs>3</Paragraphs>
  <ScaleCrop>false</ScaleCrop>
  <LinksUpToDate>false</LinksUpToDate>
  <CharactersWithSpaces>1600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2022-02-10T08:25:00Z</dcterms:created>
  <dc:creator>敦煌缪</dc:creator>
  <cp:lastModifiedBy>DELL</cp:lastModifiedBy>
  <dcterms:modified xsi:type="dcterms:W3CDTF">2023-03-16T08:17:07Z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