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重庆市开州区赵家中心幼儿园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实行保育与教育相结合的原则，对幼儿实施体、智、德、美诸方面全面发展的教育，促进其身心和谐发展。</w:t>
      </w:r>
    </w:p>
    <w:p>
      <w:pPr>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4"/>
        <w:widowControl w:val="0"/>
        <w:shd w:val="clear" w:color="auto" w:fill="FFFFFF"/>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重庆市开州区赵家中心幼儿园下设3个职能处室，分别是：保教处、综合办、安稳办。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672.38万元，其中：一般公共预算拨款672.38万元。收入较2022年增加99.45万元，主要是工资调标、公用经费、社保缴费增加，学前营改、学前资助等项目本年已纳入年初预算，导致财政拨款增加99.45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672.38万元，其中：教育支出预算538.74万元，社会保障和就业支出预算69.23万元，卫生健康支出预算33.25万元，住房保障支出预算31.24万元。支出预算较2022年增加99.45万元，主要是基本支出预算增加35.13万元，项目支出预算增加64.32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672.38万元，一般公共预算财政拨款支出672.38万元，比2022年增加99.45万元。其中：基本支出604.22万元，比2022年增加35.13万元，主要原因是工资调标、公用经费增加、社保缴费增加等，主要用于保障在职人员工资福利及社会保险缴费，离休人员离休费，退休人员补助等，保障部门正常运转的各项商品服务支出；项目支出68.16万元，比2022年增加64.32万元，主要原因是学前营改、学前资助等项目本年已纳入年初预算等，主要用于</w:t>
      </w:r>
      <w:r>
        <w:rPr>
          <w:rFonts w:hint="eastAsia" w:ascii="Times New Roman" w:hAnsi="Times New Roman" w:eastAsia="方正仿宋_GBK" w:cs="Times New Roman"/>
          <w:sz w:val="32"/>
        </w:rPr>
        <w:t>学</w:t>
      </w:r>
      <w:r>
        <w:rPr>
          <w:rFonts w:ascii="Times New Roman" w:hAnsi="Times New Roman" w:eastAsia="方正仿宋_GBK" w:cs="Times New Roman"/>
          <w:sz w:val="32"/>
        </w:rPr>
        <w:t>前营改、学前资助等重点工作。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我单位2022年、2023年均无使用政府性基金预算拨款安排的支出。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2023年“三公”经费预算0万元，与上年持平。公务接待费0万元，比2022年减少0.18万元，主要原因是我单位厉行节约，严控公务接待支出。公务用车运行维护费0万元，与上年持平。</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2023年项目支出均实行了绩效目标管理，涉及一般公共预算当年财政拨款68.16万元。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cs="Times New Roman"/>
        </w:rPr>
      </w:pPr>
      <w:r>
        <w:rPr>
          <w:rFonts w:ascii="Times New Roman" w:hAnsi="Times New Roman" w:eastAsia="方正仿宋_GBK" w:cs="Times New Roman"/>
          <w:b/>
          <w:sz w:val="32"/>
        </w:rPr>
        <w:t>部门预算公开联系人：李进</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电话：</w:t>
      </w:r>
      <w:r>
        <w:rPr>
          <w:rFonts w:hint="eastAsia" w:ascii="Times New Roman" w:hAnsi="Times New Roman" w:eastAsia="方正仿宋_GBK" w:cs="Times New Roman"/>
          <w:b/>
          <w:sz w:val="32"/>
        </w:rPr>
        <w:t>（</w:t>
      </w:r>
      <w:r>
        <w:rPr>
          <w:rFonts w:ascii="Times New Roman" w:hAnsi="Times New Roman" w:eastAsia="方正仿宋_GBK" w:cs="Times New Roman"/>
          <w:b/>
          <w:sz w:val="32"/>
        </w:rPr>
        <w:t>李进</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023-52601611</w:t>
      </w:r>
      <w:r>
        <w:rPr>
          <w:rFonts w:hint="eastAsia" w:ascii="Times New Roman" w:hAnsi="Times New Roman" w:eastAsia="方正仿宋_GBK" w:cs="Times New Roman"/>
          <w:b/>
          <w:sz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51"/>
    <w:rsid w:val="00015876"/>
    <w:rsid w:val="000D77D0"/>
    <w:rsid w:val="00163C31"/>
    <w:rsid w:val="001E538E"/>
    <w:rsid w:val="0020642C"/>
    <w:rsid w:val="002F1CF3"/>
    <w:rsid w:val="003B1988"/>
    <w:rsid w:val="00431351"/>
    <w:rsid w:val="005436EA"/>
    <w:rsid w:val="00571558"/>
    <w:rsid w:val="005C782F"/>
    <w:rsid w:val="005F1137"/>
    <w:rsid w:val="006047E5"/>
    <w:rsid w:val="00657240"/>
    <w:rsid w:val="00742AD1"/>
    <w:rsid w:val="00773965"/>
    <w:rsid w:val="007C046E"/>
    <w:rsid w:val="00AF0074"/>
    <w:rsid w:val="00B37D0E"/>
    <w:rsid w:val="00BF5CCB"/>
    <w:rsid w:val="00C846FE"/>
    <w:rsid w:val="00D334D6"/>
    <w:rsid w:val="00F07765"/>
    <w:rsid w:val="137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228</Words>
  <Characters>1303</Characters>
  <Lines>10</Lines>
  <Paragraphs>3</Paragraphs>
  <TotalTime>0</TotalTime>
  <ScaleCrop>false</ScaleCrop>
  <LinksUpToDate>false</LinksUpToDate>
  <CharactersWithSpaces>1528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2023-02-28T04:22:00Z</dcterms:created>
  <dc:creator>li</dc:creator>
  <cp:lastModifiedBy>DELL</cp:lastModifiedBy>
  <dcterms:modified xsi:type="dcterms:W3CDTF">2023-03-16T07:39:56Z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