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重庆市开州区长沙镇义学堂中心小学</w:t>
      </w:r>
    </w:p>
    <w:p>
      <w:pPr>
        <w:spacing w:line="60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2023年部门预算情况说明</w:t>
      </w:r>
    </w:p>
    <w:p>
      <w:pPr>
        <w:spacing w:line="600" w:lineRule="exact"/>
        <w:ind w:firstLine="880" w:firstLineChars="200"/>
        <w:jc w:val="center"/>
        <w:rPr>
          <w:rFonts w:ascii="Times New Roman" w:hAnsi="Times New Roman" w:eastAsia="华文中宋" w:cs="Times New Roman"/>
          <w:sz w:val="44"/>
          <w:szCs w:val="44"/>
        </w:rPr>
      </w:pPr>
    </w:p>
    <w:p>
      <w:pPr>
        <w:spacing w:line="600" w:lineRule="exact"/>
        <w:ind w:left="640"/>
        <w:rPr>
          <w:rFonts w:ascii="Times New Roman" w:hAnsi="Times New Roman" w:eastAsia="方正黑体_GBK" w:cs="Times New Roman"/>
          <w:sz w:val="32"/>
        </w:rPr>
      </w:pPr>
      <w:r>
        <w:rPr>
          <w:rFonts w:ascii="Times New Roman" w:hAnsi="Times New Roman" w:eastAsia="方正黑体_GBK" w:cs="Times New Roman"/>
          <w:sz w:val="32"/>
        </w:rPr>
        <w:t>一、单位基本情况</w:t>
      </w:r>
    </w:p>
    <w:p>
      <w:pPr>
        <w:spacing w:line="600" w:lineRule="exact"/>
        <w:ind w:firstLine="640" w:firstLineChars="200"/>
        <w:rPr>
          <w:rFonts w:ascii="Times New Roman" w:hAnsi="Times New Roman" w:eastAsia="方正楷体_GBK" w:cs="Times New Roman"/>
          <w:sz w:val="32"/>
        </w:rPr>
      </w:pPr>
      <w:r>
        <w:rPr>
          <w:rFonts w:ascii="Times New Roman" w:hAnsi="Times New Roman" w:eastAsia="方正楷体_GBK" w:cs="Times New Roman"/>
          <w:sz w:val="32"/>
        </w:rPr>
        <w:t>（一）职能职责</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1.组织实施教育教学活动，维护学校的教学秩序。</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2.对受教育者进行学籍管理，实施奖励或者处分，颁发相应的学业证书。</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3.聘任教职工，实施奖励或者处分。</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4.维护受教育者、教师及其他职工的合法权益。</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5.根据学校规模，设置学校管理机构，建立健全各项规章制度和岗位责任制；</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6.做好学校安全稳定工作和后勤保障服务工作。</w:t>
      </w:r>
    </w:p>
    <w:p>
      <w:pPr>
        <w:spacing w:line="600" w:lineRule="exact"/>
        <w:ind w:firstLine="640" w:firstLineChars="200"/>
        <w:rPr>
          <w:rFonts w:ascii="Times New Roman" w:hAnsi="Times New Roman" w:eastAsia="方正楷体_GBK" w:cs="Times New Roman"/>
          <w:sz w:val="32"/>
        </w:rPr>
      </w:pPr>
      <w:r>
        <w:rPr>
          <w:rFonts w:ascii="Times New Roman" w:hAnsi="Times New Roman" w:eastAsia="方正楷体_GBK" w:cs="Times New Roman"/>
          <w:sz w:val="32"/>
        </w:rPr>
        <w:t>（二）单位构成</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本单位内设4个机构处室，分别是教务处、政教处、总务处、安稳办。</w:t>
      </w:r>
    </w:p>
    <w:p>
      <w:pPr>
        <w:spacing w:line="600" w:lineRule="exact"/>
        <w:ind w:left="640"/>
        <w:rPr>
          <w:rFonts w:ascii="Times New Roman" w:hAnsi="Times New Roman" w:eastAsia="方正仿宋_GBK" w:cs="Times New Roman"/>
          <w:sz w:val="32"/>
        </w:rPr>
      </w:pPr>
      <w:r>
        <w:rPr>
          <w:rFonts w:ascii="Times New Roman" w:hAnsi="Times New Roman" w:eastAsia="方正黑体_GBK" w:cs="Times New Roman"/>
          <w:sz w:val="32"/>
        </w:rPr>
        <w:t>二、部门收支总体情况</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楷体_GBK" w:cs="Times New Roman"/>
          <w:sz w:val="32"/>
        </w:rPr>
        <w:t>（一）收入预算：</w:t>
      </w:r>
      <w:r>
        <w:rPr>
          <w:rFonts w:ascii="Times New Roman" w:hAnsi="Times New Roman" w:eastAsia="方正仿宋_GBK" w:cs="Times New Roman"/>
          <w:sz w:val="32"/>
        </w:rPr>
        <w:t>2023年年初预算数2727.00万元（包含上年结转69.00万元），其中：一般公共预算拨款2727.00万元，上年结转69.00万元。收入较2022年增加406.49万元，主要是一般公共预算拨款增加406.49万元。</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楷体_GBK" w:cs="Times New Roman"/>
          <w:sz w:val="32"/>
        </w:rPr>
        <w:t>（二）支出预算：</w:t>
      </w:r>
      <w:r>
        <w:rPr>
          <w:rFonts w:ascii="Times New Roman" w:hAnsi="Times New Roman" w:eastAsia="方正仿宋_GBK" w:cs="Times New Roman"/>
          <w:sz w:val="32"/>
        </w:rPr>
        <w:t>2023年年初预算数2727.00万元，其中：教育支出预算2027.48万元，社会保障和就业支出预算426.2万元，卫生健康支出预算144.74万元，住房保障支出预算128.58万元。支出预算较2022年增加406.49万元，主要是基本支出预算增加177.89万元，项目支出预算增加228.60万元。</w:t>
      </w:r>
    </w:p>
    <w:p>
      <w:pPr>
        <w:spacing w:line="600" w:lineRule="exact"/>
        <w:ind w:left="640"/>
        <w:rPr>
          <w:rFonts w:ascii="Times New Roman" w:hAnsi="Times New Roman" w:eastAsia="方正黑体_GBK" w:cs="Times New Roman"/>
          <w:sz w:val="32"/>
        </w:rPr>
      </w:pPr>
      <w:r>
        <w:rPr>
          <w:rFonts w:ascii="Times New Roman" w:hAnsi="Times New Roman" w:eastAsia="方正黑体_GBK" w:cs="Times New Roman"/>
          <w:sz w:val="32"/>
        </w:rPr>
        <w:t>三、部门预算情况说明</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2023年一般公共预算财政拨款收入2727.00万元，一般公共预算财政拨款支出2727.00万元，比2022年增加406.49万元。其中：基本支出2468.25万元，比2022年增加177.89万元，主要原因是</w:t>
      </w:r>
      <w:r>
        <w:rPr>
          <w:rFonts w:ascii="Times New Roman" w:hAnsi="Times New Roman" w:eastAsia="方正仿宋_GBK" w:cs="Times New Roman"/>
          <w:sz w:val="32"/>
          <w:szCs w:val="32"/>
        </w:rPr>
        <w:t>在职人员正常工资晋升、退休人员增加导致健康休养费增加</w:t>
      </w:r>
      <w:r>
        <w:rPr>
          <w:rFonts w:ascii="Times New Roman" w:hAnsi="Times New Roman" w:eastAsia="方正仿宋_GBK" w:cs="Times New Roman"/>
          <w:sz w:val="32"/>
        </w:rPr>
        <w:t>，因本校为学区牵头学校，为保障学区制运行导致公用经费增加等，主要用于保障在职人员工资福利及社会保险缴费，离休人员离休费，退休人员补助等，保障部门正常运转的各项商品服务支出；项目支出258.76万元，比2022年增加228.60万元，主要原因是本年度将义教营改膳食补助、义教家庭经济困难学生生活补助纳入了年初部门预算，同时预算时新增了实验室建设及上年结转的班班通设备购置等，主要用于义教营改及家庭经济困难学生生活补助、改善学校办学条件等重点工作。</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我单位2023年无使用政府性基金预算拨款安排的支出。</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黑体_GBK" w:cs="Times New Roman"/>
          <w:sz w:val="32"/>
        </w:rPr>
        <w:t>四、</w:t>
      </w:r>
      <w:r>
        <w:rPr>
          <w:rFonts w:ascii="Times New Roman" w:hAnsi="Times New Roman" w:eastAsia="方正仿宋_GBK" w:cs="Times New Roman"/>
          <w:sz w:val="32"/>
        </w:rPr>
        <w:t>“</w:t>
      </w:r>
      <w:r>
        <w:rPr>
          <w:rFonts w:ascii="Times New Roman" w:hAnsi="Times New Roman" w:eastAsia="方正黑体_GBK" w:cs="Times New Roman"/>
          <w:sz w:val="32"/>
        </w:rPr>
        <w:t>三公</w:t>
      </w:r>
      <w:r>
        <w:rPr>
          <w:rFonts w:ascii="Times New Roman" w:hAnsi="Times New Roman" w:eastAsia="方正仿宋_GBK" w:cs="Times New Roman"/>
          <w:sz w:val="32"/>
        </w:rPr>
        <w:t>”</w:t>
      </w:r>
      <w:r>
        <w:rPr>
          <w:rFonts w:ascii="Times New Roman" w:hAnsi="Times New Roman" w:eastAsia="方正黑体_GBK" w:cs="Times New Roman"/>
          <w:sz w:val="32"/>
        </w:rPr>
        <w:t>经费情况说明</w:t>
      </w:r>
    </w:p>
    <w:p>
      <w:pPr>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本单位2022年、2023年均无“三公”经费预算。</w:t>
      </w:r>
    </w:p>
    <w:p>
      <w:pPr>
        <w:spacing w:line="600" w:lineRule="exact"/>
        <w:ind w:firstLine="640" w:firstLineChars="200"/>
        <w:rPr>
          <w:rFonts w:ascii="Times New Roman" w:hAnsi="Times New Roman" w:eastAsia="方正黑体_GBK" w:cs="Times New Roman"/>
          <w:sz w:val="32"/>
        </w:rPr>
      </w:pPr>
      <w:r>
        <w:rPr>
          <w:rFonts w:ascii="Times New Roman" w:hAnsi="Times New Roman" w:eastAsia="方正黑体_GBK" w:cs="Times New Roman"/>
          <w:sz w:val="32"/>
        </w:rPr>
        <w:t>五、其他重要事项的情况说明</w:t>
      </w:r>
    </w:p>
    <w:p>
      <w:pPr>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1．我单位不在机关运行经费统计范围之内。</w:t>
      </w:r>
    </w:p>
    <w:p>
      <w:pPr>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2．政府采购情况。所属各预算单位政府采购预算总额6.00万元：政府采购货物预算6.00万元；其中一般公共预算拨款政府采购6.00万元：政府采购货物预算6.00万元。</w:t>
      </w:r>
    </w:p>
    <w:p>
      <w:pPr>
        <w:ind w:firstLine="640" w:firstLineChars="200"/>
        <w:rPr>
          <w:rFonts w:ascii="Times New Roman" w:hAnsi="Times New Roman" w:eastAsia="方正仿宋_GBK" w:cs="Times New Roman"/>
          <w:color w:val="000000"/>
          <w:sz w:val="32"/>
        </w:rPr>
      </w:pPr>
      <w:r>
        <w:rPr>
          <w:rFonts w:ascii="Times New Roman" w:hAnsi="Times New Roman" w:eastAsia="方正仿宋_GBK" w:cs="Times New Roman"/>
          <w:sz w:val="32"/>
        </w:rPr>
        <w:t>3．绩效目标设置情况。</w:t>
      </w:r>
      <w:r>
        <w:rPr>
          <w:rFonts w:ascii="Times New Roman" w:hAnsi="Times New Roman" w:eastAsia="方正仿宋_GBK" w:cs="Times New Roman"/>
          <w:color w:val="000000"/>
          <w:sz w:val="32"/>
        </w:rPr>
        <w:t>2023年项目支出均实行了绩效目标管理，涉及一般公共预算当年财政拨款189.76万元。</w:t>
      </w:r>
    </w:p>
    <w:p>
      <w:pPr>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4．国有资产占有使用情况。</w:t>
      </w:r>
      <w:r>
        <w:rPr>
          <w:rFonts w:hint="eastAsia" w:ascii="Times New Roman" w:hAnsi="Times New Roman" w:eastAsia="方正仿宋_GBK" w:cs="Times New Roman"/>
          <w:sz w:val="32"/>
          <w:lang w:val="en-US" w:eastAsia="zh-CN"/>
        </w:rPr>
        <w:t>截至</w:t>
      </w:r>
      <w:bookmarkStart w:id="0" w:name="_GoBack"/>
      <w:bookmarkEnd w:id="0"/>
      <w:r>
        <w:rPr>
          <w:rFonts w:ascii="Times New Roman" w:hAnsi="Times New Roman" w:eastAsia="方正仿宋_GBK" w:cs="Times New Roman"/>
          <w:sz w:val="32"/>
        </w:rPr>
        <w:t>2022年12月，所属各预算单位共有车辆0辆，其中一般公务用车0辆、执勤执法用车0辆。2023年一般公共预算安排购置车辆0辆，其中一般公务用车0辆、执勤执法用车0辆。</w:t>
      </w:r>
    </w:p>
    <w:p>
      <w:pPr>
        <w:spacing w:line="600" w:lineRule="exact"/>
        <w:ind w:left="640"/>
        <w:rPr>
          <w:rFonts w:ascii="Times New Roman" w:hAnsi="Times New Roman" w:eastAsia="方正黑体_GBK" w:cs="Times New Roman"/>
          <w:sz w:val="32"/>
        </w:rPr>
      </w:pPr>
      <w:r>
        <w:rPr>
          <w:rFonts w:ascii="Times New Roman" w:hAnsi="Times New Roman" w:eastAsia="方正黑体_GBK" w:cs="Times New Roman"/>
          <w:sz w:val="32"/>
        </w:rPr>
        <w:t>六、专业性名词解释</w:t>
      </w:r>
    </w:p>
    <w:p>
      <w:pPr>
        <w:pStyle w:val="9"/>
        <w:tabs>
          <w:tab w:val="center" w:pos="4153"/>
          <w:tab w:val="left" w:pos="7275"/>
        </w:tabs>
        <w:spacing w:line="600" w:lineRule="exact"/>
        <w:ind w:firstLine="640"/>
        <w:jc w:val="left"/>
        <w:rPr>
          <w:rFonts w:ascii="Times New Roman" w:hAnsi="Times New Roman" w:eastAsia="方正仿宋_GBK"/>
          <w:sz w:val="32"/>
          <w:szCs w:val="32"/>
        </w:rPr>
      </w:pPr>
      <w:r>
        <w:rPr>
          <w:rFonts w:ascii="Times New Roman" w:hAnsi="Times New Roman" w:eastAsia="方正楷体_GBK"/>
          <w:sz w:val="32"/>
        </w:rPr>
        <w:t>（一）财政拨款收入：</w:t>
      </w:r>
      <w:r>
        <w:rPr>
          <w:rFonts w:ascii="Times New Roman" w:hAnsi="Times New Roman" w:eastAsia="方正仿宋_GBK"/>
          <w:sz w:val="32"/>
          <w:szCs w:val="32"/>
        </w:rPr>
        <w:t>指本年度从本级财政部门取得的财政拨款，包括一般公共预算财政拨款和政府性基金预算财政拨款。</w:t>
      </w:r>
    </w:p>
    <w:p>
      <w:pPr>
        <w:pStyle w:val="9"/>
        <w:tabs>
          <w:tab w:val="center" w:pos="4153"/>
          <w:tab w:val="left" w:pos="7275"/>
        </w:tabs>
        <w:spacing w:line="600" w:lineRule="exact"/>
        <w:ind w:firstLine="640"/>
        <w:jc w:val="left"/>
        <w:rPr>
          <w:rFonts w:ascii="Times New Roman" w:hAnsi="Times New Roman" w:eastAsia="方正仿宋_GBK"/>
          <w:sz w:val="32"/>
          <w:szCs w:val="32"/>
        </w:rPr>
      </w:pPr>
      <w:r>
        <w:rPr>
          <w:rFonts w:ascii="Times New Roman" w:hAnsi="Times New Roman" w:eastAsia="方正楷体_GBK"/>
          <w:sz w:val="32"/>
        </w:rPr>
        <w:t>（二）其他收入：</w:t>
      </w:r>
      <w:r>
        <w:rPr>
          <w:rFonts w:ascii="Times New Roman" w:hAnsi="Times New Roman" w:eastAsia="方正仿宋_GBK"/>
          <w:sz w:val="32"/>
          <w:szCs w:val="32"/>
        </w:rPr>
        <w:t>指单位取得的除“财政拨款收入”、“事业收入”、“经营收入”等以外的收入。</w:t>
      </w:r>
    </w:p>
    <w:p>
      <w:pPr>
        <w:pStyle w:val="9"/>
        <w:tabs>
          <w:tab w:val="center" w:pos="4153"/>
          <w:tab w:val="left" w:pos="7275"/>
        </w:tabs>
        <w:spacing w:line="600" w:lineRule="exact"/>
        <w:ind w:firstLine="640"/>
        <w:jc w:val="left"/>
        <w:rPr>
          <w:rFonts w:ascii="Times New Roman" w:hAnsi="Times New Roman" w:eastAsia="方正仿宋_GBK"/>
          <w:sz w:val="32"/>
          <w:szCs w:val="32"/>
        </w:rPr>
      </w:pPr>
      <w:r>
        <w:rPr>
          <w:rFonts w:ascii="Times New Roman" w:hAnsi="Times New Roman" w:eastAsia="方正楷体_GBK"/>
          <w:sz w:val="32"/>
        </w:rPr>
        <w:t>（三）基本支出：</w:t>
      </w:r>
      <w:r>
        <w:rPr>
          <w:rFonts w:ascii="Times New Roman" w:hAnsi="Times New Roman" w:eastAsia="方正仿宋_GBK"/>
          <w:sz w:val="32"/>
          <w:szCs w:val="32"/>
        </w:rPr>
        <w:t>指为保障机构正常运转、完成日常工作任务而发生的人员经费和公用经费。</w:t>
      </w:r>
    </w:p>
    <w:p>
      <w:pPr>
        <w:pStyle w:val="9"/>
        <w:tabs>
          <w:tab w:val="center" w:pos="4153"/>
          <w:tab w:val="left" w:pos="7275"/>
        </w:tabs>
        <w:spacing w:line="600" w:lineRule="exact"/>
        <w:ind w:firstLine="640"/>
        <w:jc w:val="left"/>
        <w:rPr>
          <w:rFonts w:ascii="Times New Roman" w:hAnsi="Times New Roman" w:eastAsia="方正仿宋_GBK"/>
          <w:sz w:val="32"/>
          <w:szCs w:val="32"/>
        </w:rPr>
      </w:pPr>
      <w:r>
        <w:rPr>
          <w:rFonts w:ascii="Times New Roman" w:hAnsi="Times New Roman" w:eastAsia="方正楷体_GBK"/>
          <w:sz w:val="32"/>
        </w:rPr>
        <w:t>（四）项目支出：</w:t>
      </w:r>
      <w:r>
        <w:rPr>
          <w:rFonts w:ascii="Times New Roman" w:hAnsi="Times New Roman" w:eastAsia="方正仿宋_GBK"/>
          <w:sz w:val="32"/>
          <w:szCs w:val="32"/>
        </w:rPr>
        <w:t>指在基本支出之外为完成特定行政任务和事业发展目标所发生的支出。</w:t>
      </w:r>
    </w:p>
    <w:p>
      <w:pPr>
        <w:ind w:firstLine="640" w:firstLineChars="200"/>
        <w:rPr>
          <w:rFonts w:ascii="Times New Roman" w:hAnsi="Times New Roman" w:eastAsia="方正仿宋_GBK" w:cs="Times New Roman"/>
          <w:color w:val="000000"/>
          <w:sz w:val="32"/>
        </w:rPr>
      </w:pPr>
      <w:r>
        <w:rPr>
          <w:rFonts w:ascii="Times New Roman" w:hAnsi="Times New Roman" w:eastAsia="方正楷体_GBK" w:cs="Times New Roman"/>
          <w:sz w:val="32"/>
        </w:rPr>
        <w:t>（五）</w:t>
      </w:r>
      <w:r>
        <w:rPr>
          <w:rFonts w:ascii="Times New Roman" w:hAnsi="Times New Roman" w:eastAsia="方正仿宋_GBK" w:cs="Times New Roman"/>
          <w:sz w:val="32"/>
        </w:rPr>
        <w:t>“</w:t>
      </w:r>
      <w:r>
        <w:rPr>
          <w:rFonts w:ascii="Times New Roman" w:hAnsi="Times New Roman" w:eastAsia="方正楷体_GBK" w:cs="Times New Roman"/>
          <w:sz w:val="32"/>
        </w:rPr>
        <w:t>三公</w:t>
      </w:r>
      <w:r>
        <w:rPr>
          <w:rFonts w:ascii="Times New Roman" w:hAnsi="Times New Roman" w:eastAsia="方正仿宋_GBK" w:cs="Times New Roman"/>
          <w:sz w:val="32"/>
        </w:rPr>
        <w:t>”</w:t>
      </w:r>
      <w:r>
        <w:rPr>
          <w:rFonts w:ascii="Times New Roman" w:hAnsi="Times New Roman" w:eastAsia="方正楷体_GBK" w:cs="Times New Roman"/>
          <w:sz w:val="32"/>
        </w:rPr>
        <w:t>经费：</w:t>
      </w:r>
      <w:r>
        <w:rPr>
          <w:rFonts w:ascii="Times New Roman" w:hAnsi="Times New Roman" w:eastAsia="方正仿宋_GBK" w:cs="Times New Roman"/>
          <w:sz w:val="32"/>
          <w:szCs w:val="3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rPr>
          <w:rFonts w:eastAsia="方正仿宋_GBK"/>
          <w:color w:val="FF0000"/>
          <w:szCs w:val="32"/>
        </w:rPr>
      </w:pPr>
      <w:r>
        <w:rPr>
          <w:rFonts w:hint="eastAsia" w:eastAsia="方正仿宋_GBK"/>
          <w:b/>
          <w:sz w:val="32"/>
        </w:rPr>
        <w:t>部门预算公开联系人：</w:t>
      </w:r>
      <w:r>
        <w:rPr>
          <w:rFonts w:ascii="Times New Roman" w:hAnsi="Times New Roman" w:eastAsia="方正仿宋_GBK" w:cs="Times New Roman"/>
          <w:b/>
          <w:sz w:val="32"/>
        </w:rPr>
        <w:t>张良军</w:t>
      </w:r>
      <w:r>
        <w:rPr>
          <w:rFonts w:eastAsia="方正仿宋_GBK"/>
          <w:b/>
          <w:sz w:val="32"/>
        </w:rPr>
        <w:t xml:space="preserve">  </w:t>
      </w:r>
      <w:r>
        <w:rPr>
          <w:rFonts w:hint="eastAsia" w:eastAsia="方正仿宋_GBK"/>
          <w:b/>
          <w:sz w:val="32"/>
        </w:rPr>
        <w:t>联系方式：（</w:t>
      </w:r>
      <w:r>
        <w:rPr>
          <w:rFonts w:ascii="Times New Roman" w:hAnsi="Times New Roman" w:eastAsia="方正仿宋_GBK" w:cs="Times New Roman"/>
          <w:b/>
          <w:sz w:val="32"/>
        </w:rPr>
        <w:t>张良军</w:t>
      </w:r>
      <w:r>
        <w:rPr>
          <w:rFonts w:hint="eastAsia" w:eastAsia="方正仿宋_GBK"/>
          <w:b/>
          <w:sz w:val="32"/>
        </w:rPr>
        <w:t>，电话：</w:t>
      </w:r>
      <w:r>
        <w:rPr>
          <w:rFonts w:ascii="Times New Roman" w:hAnsi="Times New Roman" w:eastAsia="方正仿宋_GBK" w:cs="Times New Roman"/>
          <w:b/>
          <w:sz w:val="32"/>
        </w:rPr>
        <w:t>023-52533896</w:t>
      </w:r>
      <w:r>
        <w:rPr>
          <w:rFonts w:hint="eastAsia" w:eastAsia="方正仿宋_GBK"/>
          <w:b/>
          <w:sz w:val="32"/>
        </w:rPr>
        <w:t>）</w:t>
      </w:r>
    </w:p>
    <w:p>
      <w:pPr>
        <w:ind w:firstLine="220" w:firstLineChars="50"/>
        <w:rPr>
          <w:rFonts w:ascii="Times New Roman" w:hAnsi="Times New Roman" w:eastAsia="方正小标宋_GBK" w:cs="Times New Roman"/>
          <w:sz w:val="44"/>
          <w:szCs w:val="44"/>
        </w:rPr>
      </w:pPr>
    </w:p>
    <w:sectPr>
      <w:footerReference r:id="rId3" w:type="default"/>
      <w:footerReference r:id="rId4" w:type="even"/>
      <w:pgSz w:w="11906" w:h="16838"/>
      <w:pgMar w:top="1814" w:right="1531" w:bottom="1814" w:left="1531" w:header="851" w:footer="1418"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420" w:rightChars="200"/>
      <w:jc w:val="right"/>
      <w:rPr>
        <w:rFonts w:ascii="Times New Roman" w:hAnsi="Times New Roman" w:cs="Times New Roman"/>
        <w:sz w:val="28"/>
        <w:szCs w:val="28"/>
      </w:rPr>
    </w:pPr>
    <w:r>
      <w:rPr>
        <w:rFonts w:ascii="Times New Roman" w:hAnsi="Times New Roman" w:cs="Times New Roman"/>
        <w:sz w:val="28"/>
        <w:szCs w:val="28"/>
      </w:rPr>
      <w:t>—</w:t>
    </w:r>
    <w:sdt>
      <w:sdtPr>
        <w:rPr>
          <w:rFonts w:ascii="Times New Roman" w:hAnsi="Times New Roman" w:cs="Times New Roman"/>
          <w:sz w:val="28"/>
          <w:szCs w:val="28"/>
        </w:rPr>
        <w:id w:val="-1345702473"/>
      </w:sdtPr>
      <w:sdtEndPr>
        <w:rPr>
          <w:rFonts w:ascii="Times New Roman" w:hAnsi="Times New Roman" w:cs="Times New Roman"/>
          <w:sz w:val="28"/>
          <w:szCs w:val="28"/>
        </w:rPr>
      </w:sdtEndPr>
      <w:sdtContent>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3</w:t>
        </w:r>
        <w:r>
          <w:rPr>
            <w:rFonts w:ascii="Times New Roman" w:hAnsi="Times New Roman" w:cs="Times New Roman"/>
            <w:sz w:val="28"/>
            <w:szCs w:val="28"/>
          </w:rPr>
          <w:fldChar w:fldCharType="end"/>
        </w:r>
      </w:sdtContent>
    </w:sdt>
    <w:r>
      <w:rPr>
        <w:rFonts w:ascii="Times New Roman" w:hAnsi="Times New Roman" w:cs="Times New Roman"/>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left="420" w:leftChars="200"/>
      <w:rPr>
        <w:rFonts w:ascii="Times New Roman" w:hAnsi="Times New Roman" w:cs="Times New Roman"/>
        <w:sz w:val="28"/>
        <w:szCs w:val="28"/>
      </w:rPr>
    </w:pPr>
    <w:r>
      <w:rPr>
        <w:rFonts w:ascii="Times New Roman" w:hAnsi="Times New Roman" w:cs="Times New Roman"/>
        <w:sz w:val="28"/>
        <w:szCs w:val="28"/>
      </w:rPr>
      <w:t>—</w:t>
    </w:r>
    <w:sdt>
      <w:sdtPr>
        <w:rPr>
          <w:rFonts w:ascii="Times New Roman" w:hAnsi="Times New Roman" w:cs="Times New Roman"/>
          <w:sz w:val="28"/>
          <w:szCs w:val="28"/>
        </w:rPr>
        <w:id w:val="-1144127855"/>
      </w:sdtPr>
      <w:sdtEndPr>
        <w:rPr>
          <w:rFonts w:ascii="Times New Roman" w:hAnsi="Times New Roman" w:cs="Times New Roman"/>
          <w:sz w:val="28"/>
          <w:szCs w:val="28"/>
        </w:rPr>
      </w:sdtEndPr>
      <w:sdtContent>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4</w:t>
        </w:r>
        <w:r>
          <w:rPr>
            <w:rFonts w:ascii="Times New Roman" w:hAnsi="Times New Roman" w:cs="Times New Roman"/>
            <w:sz w:val="28"/>
            <w:szCs w:val="28"/>
          </w:rPr>
          <w:fldChar w:fldCharType="end"/>
        </w:r>
      </w:sdtContent>
    </w:sdt>
    <w:r>
      <w:rPr>
        <w:rFonts w:ascii="Times New Roman" w:hAnsi="Times New Roman" w:cs="Times New Roman"/>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468AC"/>
    <w:rsid w:val="00001A48"/>
    <w:rsid w:val="00002C45"/>
    <w:rsid w:val="00022585"/>
    <w:rsid w:val="000769DE"/>
    <w:rsid w:val="000C588F"/>
    <w:rsid w:val="00147A84"/>
    <w:rsid w:val="00201200"/>
    <w:rsid w:val="00257EAC"/>
    <w:rsid w:val="00273F5F"/>
    <w:rsid w:val="00313493"/>
    <w:rsid w:val="00334303"/>
    <w:rsid w:val="00366BCB"/>
    <w:rsid w:val="00384A1B"/>
    <w:rsid w:val="003A388C"/>
    <w:rsid w:val="00433075"/>
    <w:rsid w:val="004744E4"/>
    <w:rsid w:val="004A12FC"/>
    <w:rsid w:val="004A4BF6"/>
    <w:rsid w:val="004D2F8D"/>
    <w:rsid w:val="004F1A0B"/>
    <w:rsid w:val="004F7FF4"/>
    <w:rsid w:val="005523E5"/>
    <w:rsid w:val="005F1395"/>
    <w:rsid w:val="00627C64"/>
    <w:rsid w:val="0063471F"/>
    <w:rsid w:val="0064314C"/>
    <w:rsid w:val="00681AB5"/>
    <w:rsid w:val="00685754"/>
    <w:rsid w:val="006D5415"/>
    <w:rsid w:val="006F2657"/>
    <w:rsid w:val="007140BC"/>
    <w:rsid w:val="00737299"/>
    <w:rsid w:val="00741633"/>
    <w:rsid w:val="007468AC"/>
    <w:rsid w:val="0076585A"/>
    <w:rsid w:val="007C05D9"/>
    <w:rsid w:val="007C224D"/>
    <w:rsid w:val="00833214"/>
    <w:rsid w:val="00840EF1"/>
    <w:rsid w:val="008449F4"/>
    <w:rsid w:val="008A3049"/>
    <w:rsid w:val="008B13C7"/>
    <w:rsid w:val="008B467B"/>
    <w:rsid w:val="009A1447"/>
    <w:rsid w:val="009F63AF"/>
    <w:rsid w:val="00A235C1"/>
    <w:rsid w:val="00A45450"/>
    <w:rsid w:val="00AC1EC0"/>
    <w:rsid w:val="00AC649B"/>
    <w:rsid w:val="00AF39CD"/>
    <w:rsid w:val="00B55F6A"/>
    <w:rsid w:val="00B63FAF"/>
    <w:rsid w:val="00BF6178"/>
    <w:rsid w:val="00C776E2"/>
    <w:rsid w:val="00C80ABF"/>
    <w:rsid w:val="00C827F3"/>
    <w:rsid w:val="00CC66F4"/>
    <w:rsid w:val="00CD5E86"/>
    <w:rsid w:val="00D05E02"/>
    <w:rsid w:val="00D318AA"/>
    <w:rsid w:val="00D72234"/>
    <w:rsid w:val="00D75676"/>
    <w:rsid w:val="00D922F8"/>
    <w:rsid w:val="00DA22C3"/>
    <w:rsid w:val="00E706A9"/>
    <w:rsid w:val="00E85BF3"/>
    <w:rsid w:val="00EA620F"/>
    <w:rsid w:val="00EF1EDA"/>
    <w:rsid w:val="00EF617F"/>
    <w:rsid w:val="00F34381"/>
    <w:rsid w:val="00F34C12"/>
    <w:rsid w:val="00F36862"/>
    <w:rsid w:val="00F71DEB"/>
    <w:rsid w:val="00FB717C"/>
    <w:rsid w:val="00FD206A"/>
    <w:rsid w:val="1B786C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6">
    <w:name w:val="Normal Table"/>
    <w:unhideWhenUsed/>
    <w:uiPriority w:val="99"/>
    <w:tblPr>
      <w:tblLayout w:type="fixed"/>
      <w:tblCellMar>
        <w:top w:w="0" w:type="dxa"/>
        <w:left w:w="108" w:type="dxa"/>
        <w:bottom w:w="0" w:type="dxa"/>
        <w:right w:w="108" w:type="dxa"/>
      </w:tblCellMar>
    </w:tblPr>
  </w:style>
  <w:style w:type="paragraph" w:styleId="2">
    <w:name w:val="Balloon Text"/>
    <w:basedOn w:val="1"/>
    <w:link w:val="11"/>
    <w:unhideWhenUsed/>
    <w:uiPriority w:val="99"/>
    <w:rPr>
      <w:sz w:val="18"/>
      <w:szCs w:val="18"/>
    </w:r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5"/>
    <w:link w:val="4"/>
    <w:uiPriority w:val="99"/>
    <w:rPr>
      <w:sz w:val="18"/>
      <w:szCs w:val="18"/>
    </w:rPr>
  </w:style>
  <w:style w:type="character" w:customStyle="1" w:styleId="8">
    <w:name w:val="页脚 Char"/>
    <w:basedOn w:val="5"/>
    <w:link w:val="3"/>
    <w:uiPriority w:val="99"/>
    <w:rPr>
      <w:sz w:val="18"/>
      <w:szCs w:val="18"/>
    </w:rPr>
  </w:style>
  <w:style w:type="paragraph" w:customStyle="1" w:styleId="9">
    <w:name w:val="_Style 7"/>
    <w:basedOn w:val="1"/>
    <w:next w:val="10"/>
    <w:qFormat/>
    <w:uiPriority w:val="34"/>
    <w:pPr>
      <w:ind w:firstLine="420" w:firstLineChars="200"/>
    </w:pPr>
    <w:rPr>
      <w:rFonts w:ascii="Calibri" w:hAnsi="Calibri" w:eastAsia="宋体" w:cs="Times New Roman"/>
    </w:rPr>
  </w:style>
  <w:style w:type="paragraph" w:customStyle="1" w:styleId="10">
    <w:name w:val="List Paragraph"/>
    <w:basedOn w:val="1"/>
    <w:qFormat/>
    <w:uiPriority w:val="34"/>
    <w:pPr>
      <w:ind w:firstLine="420" w:firstLineChars="200"/>
    </w:pPr>
  </w:style>
  <w:style w:type="character" w:customStyle="1" w:styleId="11">
    <w:name w:val="批注框文本 Char"/>
    <w:basedOn w:val="5"/>
    <w:link w:val="2"/>
    <w:semiHidden/>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Users</Company>
  <Pages>4</Pages>
  <Words>252</Words>
  <Characters>1441</Characters>
  <Lines>12</Lines>
  <Paragraphs>3</Paragraphs>
  <TotalTime>0</TotalTime>
  <ScaleCrop>false</ScaleCrop>
  <LinksUpToDate>false</LinksUpToDate>
  <CharactersWithSpaces>1690</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2023-02-28T02:22:00Z</dcterms:created>
  <dc:creator>Windows 用户</dc:creator>
  <cp:lastModifiedBy>DELL</cp:lastModifiedBy>
  <cp:lastPrinted>2023-02-28T04:41:00Z</cp:lastPrinted>
  <dcterms:modified xsi:type="dcterms:W3CDTF">2023-03-16T07:36:16Z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