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重庆市开州区铁桥镇金沙中心小学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部门现行的职能职责：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本单位内设4个机构处室，分别是总务处、教导处、安稳办、大队部。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522.37万元（含上年结转16.15万元），其中：一般公共预算拨款522.37万元（含上年结转16.15万元），政府性基金预算拨款0万元，国有资本经营预算收入0万元，事业收入0万元，事业单位经营收入0万元，其他收入0万元，上年结转结余16.15万元。收入较2022年增加54.21万元，主要是教育支出增加53.56万元，社会保障和就业支出减少2.10万元，卫生健康支出增加1.52万元，住房保障支出增加1.24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522.37万元，其中：教育支出预算333.07万元，社会保障和就业支出预算140.48万元，卫生健康支出预算29.19万元，住房保障支出预算19.64万元。支出预算较2022年增加54.21万元，主要是基本支出预算增加24.8万元，项目支出预算增加29.41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522.37万元，一般公共预算财政拨款支出522.37万元，比2022年增加54.21万元。其中：基本支出480.26万元，比2022年增加24.8万元，主要原因是在职人员工资福利及社会保险缴费、退休人员补助等增加，保障部门正常运转的各项商品服务支出；项目支出42.11万元，比2022年增加29.41万元，主要原因是2023年将</w:t>
      </w:r>
      <w:r>
        <w:rPr>
          <w:rFonts w:ascii="Times New Roman" w:hAnsi="Times New Roman" w:eastAsia="方正仿宋_GBK" w:cs="Times New Roman"/>
          <w:color w:val="000000"/>
          <w:sz w:val="32"/>
        </w:rPr>
        <w:t>实验室建设、</w:t>
      </w:r>
      <w:r>
        <w:rPr>
          <w:rFonts w:ascii="Times New Roman" w:hAnsi="Times New Roman" w:eastAsia="方正仿宋_GBK" w:cs="Times New Roman"/>
          <w:sz w:val="32"/>
        </w:rPr>
        <w:t>遗属人员补助、学前营改和义教营改、学生资助、食堂运行经费、校园安保纳入年初项目支出预算，上年结转结余校舍维修、班班通设备项目支出预算；2022年无</w:t>
      </w:r>
      <w:r>
        <w:rPr>
          <w:rFonts w:ascii="Times New Roman" w:hAnsi="Times New Roman" w:eastAsia="方正仿宋_GBK" w:cs="Times New Roman"/>
          <w:color w:val="000000"/>
          <w:sz w:val="32"/>
        </w:rPr>
        <w:t>实验室建设、</w:t>
      </w:r>
      <w:r>
        <w:rPr>
          <w:rFonts w:ascii="Times New Roman" w:hAnsi="Times New Roman" w:eastAsia="方正仿宋_GBK" w:cs="Times New Roman"/>
          <w:sz w:val="32"/>
        </w:rPr>
        <w:t>学前营改和义教营改、学生资助项目预算。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我单位</w:t>
      </w:r>
      <w:r>
        <w:rPr>
          <w:rFonts w:ascii="Times New Roman" w:hAnsi="Times New Roman" w:eastAsia="方正仿宋_GBK" w:cs="Times New Roman"/>
          <w:sz w:val="32"/>
        </w:rPr>
        <w:t>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我单位</w:t>
      </w:r>
      <w:r>
        <w:rPr>
          <w:rFonts w:ascii="Times New Roman" w:hAnsi="Times New Roman" w:eastAsia="方正仿宋_GBK" w:cs="Times New Roman"/>
          <w:sz w:val="32"/>
        </w:rPr>
        <w:t>2023年无使用“三公”经费预算拨款安排的支出。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2．政府采购情况。我单位政府采购预算总额</w:t>
      </w:r>
      <w:r>
        <w:rPr>
          <w:rFonts w:hint="eastAsia" w:ascii="Times New Roman" w:hAnsi="Times New Roman" w:eastAsia="方正仿宋_GBK"/>
          <w:sz w:val="32"/>
        </w:rPr>
        <w:t>5</w:t>
      </w:r>
      <w:r>
        <w:rPr>
          <w:rFonts w:ascii="Times New Roman" w:hAnsi="Times New Roman" w:eastAsia="方正仿宋_GBK"/>
          <w:sz w:val="32"/>
        </w:rPr>
        <w:t>万元：政府采购货物预算</w:t>
      </w:r>
      <w:r>
        <w:rPr>
          <w:rFonts w:hint="eastAsia" w:ascii="Times New Roman" w:hAnsi="Times New Roman" w:eastAsia="方正仿宋_GBK"/>
          <w:sz w:val="32"/>
        </w:rPr>
        <w:t>5</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5</w:t>
      </w:r>
      <w:r>
        <w:rPr>
          <w:rFonts w:ascii="Times New Roman" w:hAnsi="Times New Roman" w:eastAsia="方正仿宋_GBK"/>
          <w:sz w:val="32"/>
        </w:rPr>
        <w:t>万元：政府采购货物预算</w:t>
      </w:r>
      <w:r>
        <w:rPr>
          <w:rFonts w:hint="eastAsia" w:ascii="Times New Roman" w:hAnsi="Times New Roman" w:eastAsia="方正仿宋_GBK"/>
          <w:sz w:val="32"/>
        </w:rPr>
        <w:t>5</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5.76</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部门预算公开联系人：吴进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吴进</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023-52795022</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85BA4"/>
    <w:rsid w:val="000A36F3"/>
    <w:rsid w:val="000A73D5"/>
    <w:rsid w:val="000C588F"/>
    <w:rsid w:val="000D1D9C"/>
    <w:rsid w:val="000D7CFF"/>
    <w:rsid w:val="001351A4"/>
    <w:rsid w:val="0018768D"/>
    <w:rsid w:val="001B5C69"/>
    <w:rsid w:val="001C4980"/>
    <w:rsid w:val="00201200"/>
    <w:rsid w:val="00257EAC"/>
    <w:rsid w:val="002E296D"/>
    <w:rsid w:val="003431BD"/>
    <w:rsid w:val="00366BCB"/>
    <w:rsid w:val="003A388C"/>
    <w:rsid w:val="003F55FD"/>
    <w:rsid w:val="00445602"/>
    <w:rsid w:val="00452B42"/>
    <w:rsid w:val="00467D8B"/>
    <w:rsid w:val="0049717B"/>
    <w:rsid w:val="004A12FC"/>
    <w:rsid w:val="004A4BF6"/>
    <w:rsid w:val="004F1A0B"/>
    <w:rsid w:val="004F7FF4"/>
    <w:rsid w:val="005523E5"/>
    <w:rsid w:val="00622925"/>
    <w:rsid w:val="00627C64"/>
    <w:rsid w:val="0063471F"/>
    <w:rsid w:val="0064314C"/>
    <w:rsid w:val="00685754"/>
    <w:rsid w:val="006D27F4"/>
    <w:rsid w:val="006D5415"/>
    <w:rsid w:val="006E5242"/>
    <w:rsid w:val="007140BC"/>
    <w:rsid w:val="007468AC"/>
    <w:rsid w:val="007565DA"/>
    <w:rsid w:val="007C05D9"/>
    <w:rsid w:val="007D4494"/>
    <w:rsid w:val="007E5516"/>
    <w:rsid w:val="00833214"/>
    <w:rsid w:val="008B467B"/>
    <w:rsid w:val="008F61FE"/>
    <w:rsid w:val="00901993"/>
    <w:rsid w:val="0097783F"/>
    <w:rsid w:val="00985D35"/>
    <w:rsid w:val="00997A70"/>
    <w:rsid w:val="00A60C15"/>
    <w:rsid w:val="00AC1EC0"/>
    <w:rsid w:val="00AC3E3A"/>
    <w:rsid w:val="00AC649B"/>
    <w:rsid w:val="00AD48B3"/>
    <w:rsid w:val="00AF39CD"/>
    <w:rsid w:val="00AF4BFA"/>
    <w:rsid w:val="00B31A7F"/>
    <w:rsid w:val="00B3580F"/>
    <w:rsid w:val="00B47A57"/>
    <w:rsid w:val="00B55F6A"/>
    <w:rsid w:val="00B63FAF"/>
    <w:rsid w:val="00B751D2"/>
    <w:rsid w:val="00BB4FDF"/>
    <w:rsid w:val="00BF6178"/>
    <w:rsid w:val="00C24A10"/>
    <w:rsid w:val="00C827F3"/>
    <w:rsid w:val="00CC66F4"/>
    <w:rsid w:val="00D05E02"/>
    <w:rsid w:val="00D67B83"/>
    <w:rsid w:val="00D72234"/>
    <w:rsid w:val="00D75676"/>
    <w:rsid w:val="00D81E9D"/>
    <w:rsid w:val="00D922F8"/>
    <w:rsid w:val="00DD76AA"/>
    <w:rsid w:val="00E21931"/>
    <w:rsid w:val="00E8183C"/>
    <w:rsid w:val="00EA620F"/>
    <w:rsid w:val="00EC3E23"/>
    <w:rsid w:val="00EF617F"/>
    <w:rsid w:val="00F34381"/>
    <w:rsid w:val="00F34C12"/>
    <w:rsid w:val="00F36862"/>
    <w:rsid w:val="00F71DEB"/>
    <w:rsid w:val="349C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263</Words>
  <Characters>1502</Characters>
  <Lines>12</Lines>
  <Paragraphs>3</Paragraphs>
  <TotalTime>0</TotalTime>
  <ScaleCrop>false</ScaleCrop>
  <LinksUpToDate>false</LinksUpToDate>
  <CharactersWithSpaces>1762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2023-03-16T07:08:39Z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