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重庆市开州区临江镇长青中心小学</w:t>
      </w:r>
    </w:p>
    <w:p>
      <w:pPr>
        <w:spacing w:line="60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2023年部门预算情况说明</w:t>
      </w:r>
    </w:p>
    <w:p>
      <w:pPr>
        <w:spacing w:line="600" w:lineRule="exact"/>
        <w:ind w:firstLine="880" w:firstLineChars="200"/>
        <w:jc w:val="center"/>
        <w:rPr>
          <w:rFonts w:ascii="Times New Roman" w:hAnsi="Times New Roman" w:eastAsia="华文中宋" w:cs="Times New Roman"/>
          <w:sz w:val="44"/>
          <w:szCs w:val="44"/>
        </w:rPr>
      </w:pPr>
    </w:p>
    <w:p>
      <w:pPr>
        <w:spacing w:line="600" w:lineRule="exact"/>
        <w:ind w:left="640"/>
        <w:rPr>
          <w:rFonts w:ascii="Times New Roman" w:hAnsi="Times New Roman" w:eastAsia="方正黑体_GBK" w:cs="Times New Roman"/>
          <w:sz w:val="32"/>
        </w:rPr>
      </w:pPr>
      <w:r>
        <w:rPr>
          <w:rFonts w:ascii="Times New Roman" w:hAnsi="Times New Roman" w:eastAsia="方正黑体_GBK" w:cs="Times New Roman"/>
          <w:sz w:val="32"/>
        </w:rPr>
        <w:t>一、单位基本情况</w:t>
      </w:r>
    </w:p>
    <w:p>
      <w:pPr>
        <w:spacing w:line="600" w:lineRule="exact"/>
        <w:ind w:firstLine="640" w:firstLineChars="200"/>
        <w:rPr>
          <w:rFonts w:ascii="Times New Roman" w:hAnsi="Times New Roman" w:eastAsia="方正楷体_GBK" w:cs="Times New Roman"/>
          <w:sz w:val="32"/>
        </w:rPr>
      </w:pPr>
      <w:r>
        <w:rPr>
          <w:rFonts w:ascii="Times New Roman" w:hAnsi="Times New Roman" w:eastAsia="方正楷体_GBK" w:cs="Times New Roman"/>
          <w:sz w:val="32"/>
        </w:rPr>
        <w:t>（一）职能职责</w:t>
      </w:r>
    </w:p>
    <w:p>
      <w:pPr>
        <w:spacing w:line="52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1.组织实施教育教学活动，维护学校的教学秩序。</w:t>
      </w:r>
    </w:p>
    <w:p>
      <w:pPr>
        <w:spacing w:line="52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2.对受教育者进行学籍管理，实施奖励或者处分，颁发相应的学业证书。</w:t>
      </w:r>
    </w:p>
    <w:p>
      <w:pPr>
        <w:spacing w:line="52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3.聘任教职工，实施奖励或者处分。</w:t>
      </w:r>
    </w:p>
    <w:p>
      <w:pPr>
        <w:spacing w:line="52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4.维护受教育者、教师及其他职工的合法权益。</w:t>
      </w:r>
    </w:p>
    <w:p>
      <w:pPr>
        <w:spacing w:line="52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5.根据学校规模，设置学校管理机构，建立健全各项规章制度和岗位责任制。</w:t>
      </w:r>
    </w:p>
    <w:p>
      <w:pPr>
        <w:spacing w:line="52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6.做好学校安全稳定工作和后勤保障服务工作。</w:t>
      </w:r>
    </w:p>
    <w:p>
      <w:pPr>
        <w:spacing w:line="600" w:lineRule="exact"/>
        <w:ind w:firstLine="640" w:firstLineChars="200"/>
        <w:rPr>
          <w:rFonts w:ascii="Times New Roman" w:hAnsi="Times New Roman" w:eastAsia="方正楷体_GBK" w:cs="Times New Roman"/>
          <w:sz w:val="32"/>
        </w:rPr>
      </w:pPr>
      <w:r>
        <w:rPr>
          <w:rFonts w:ascii="Times New Roman" w:hAnsi="Times New Roman" w:eastAsia="方正楷体_GBK" w:cs="Times New Roman"/>
          <w:sz w:val="32"/>
        </w:rPr>
        <w:t>（二）单位构成</w:t>
      </w:r>
    </w:p>
    <w:p>
      <w:pPr>
        <w:spacing w:line="600" w:lineRule="exact"/>
        <w:ind w:firstLine="640" w:firstLineChars="200"/>
        <w:rPr>
          <w:rStyle w:val="9"/>
          <w:rFonts w:eastAsia="方正仿宋_GBK"/>
          <w:b w:val="0"/>
          <w:bCs/>
          <w:sz w:val="32"/>
          <w:szCs w:val="32"/>
          <w:shd w:val="clear" w:color="auto" w:fill="FFFFFF"/>
        </w:rPr>
      </w:pPr>
      <w:r>
        <w:rPr>
          <w:rFonts w:ascii="Times New Roman" w:hAnsi="Times New Roman" w:eastAsia="方正仿宋_GBK" w:cs="Times New Roman"/>
          <w:sz w:val="32"/>
        </w:rPr>
        <w:t>重庆市开州区临江镇长青中心小学内设5个机构处室，分别是教导处、总务处、政教处、安稳办、大队部。</w:t>
      </w:r>
    </w:p>
    <w:p>
      <w:pPr>
        <w:spacing w:line="600" w:lineRule="exact"/>
        <w:ind w:left="640"/>
        <w:rPr>
          <w:rFonts w:ascii="Times New Roman" w:hAnsi="Times New Roman" w:eastAsia="方正仿宋_GBK" w:cs="Times New Roman"/>
          <w:sz w:val="32"/>
        </w:rPr>
      </w:pPr>
      <w:r>
        <w:rPr>
          <w:rFonts w:ascii="Times New Roman" w:hAnsi="Times New Roman" w:eastAsia="方正黑体_GBK" w:cs="Times New Roman"/>
          <w:sz w:val="32"/>
        </w:rPr>
        <w:t>二、部门收支总体情况</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楷体_GBK" w:cs="Times New Roman"/>
          <w:sz w:val="32"/>
        </w:rPr>
        <w:t>（一）收入预算：</w:t>
      </w:r>
      <w:r>
        <w:rPr>
          <w:rFonts w:ascii="Times New Roman" w:hAnsi="Times New Roman" w:eastAsia="方正仿宋_GBK" w:cs="Times New Roman"/>
          <w:sz w:val="32"/>
        </w:rPr>
        <w:t>2023年年初预算数881.91 万元（含上年结转27.6万元），其中：一般公共预算拨款881.91万元，上年结转27.6 万元。收入较2022年增加58.03 万元，主要是教育支出经费拨款增加53.77万元。</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楷体_GBK" w:cs="Times New Roman"/>
          <w:sz w:val="32"/>
        </w:rPr>
        <w:t>（二）支出预算：</w:t>
      </w:r>
      <w:r>
        <w:rPr>
          <w:rFonts w:ascii="Times New Roman" w:hAnsi="Times New Roman" w:eastAsia="方正仿宋_GBK" w:cs="Times New Roman"/>
          <w:sz w:val="32"/>
        </w:rPr>
        <w:t>2023年年初预算数881.91万元，其中：教育支出预算 588.65万元，社会保障和就业支出预算208.98万元，卫生健康支出预算47.98 万元，住房保障支出预算36.3万元。支出预算较2022年增加58.03 万元，主要是基本支出预算增加-1.18 万元，项目支出预算增加59.21 万元。</w:t>
      </w:r>
    </w:p>
    <w:p>
      <w:pPr>
        <w:spacing w:line="600" w:lineRule="exact"/>
        <w:ind w:left="640"/>
        <w:rPr>
          <w:rFonts w:ascii="Times New Roman" w:hAnsi="Times New Roman" w:eastAsia="方正黑体_GBK" w:cs="Times New Roman"/>
          <w:sz w:val="32"/>
        </w:rPr>
      </w:pPr>
      <w:r>
        <w:rPr>
          <w:rFonts w:ascii="Times New Roman" w:hAnsi="Times New Roman" w:eastAsia="方正黑体_GBK" w:cs="Times New Roman"/>
          <w:sz w:val="32"/>
        </w:rPr>
        <w:t>三、部门预算情况说明</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2023年一般公共预算财政拨款收入881.91万元，一般公共预算财政拨款支出 881.91万元，比2022年增加30.43万元。其中：基本支出801.3万元，比2022年减少1.18 万元，主要原因是学生人数减少，公用经费减少，主要用于保障在职人员工资福利及社会保险缴费，离休人员离休费，退休人员补助等，保障部门正常运转的各项商品服务支出；项目支出80.61万元，比2022年增加59.21万元，主要原因是2022年结转了27.6万元，膳食补助等经费加入项目经费里，主要用于食堂运转，学生营改，遗属补助等重点工作。</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重庆市开州区临江镇长青中心小学2022年、2023年均无政府性基金预算拨款安排的支出</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黑体_GBK" w:cs="Times New Roman"/>
          <w:sz w:val="32"/>
        </w:rPr>
        <w:t>四、</w:t>
      </w:r>
      <w:r>
        <w:rPr>
          <w:rFonts w:ascii="Times New Roman" w:hAnsi="Times New Roman" w:eastAsia="方正仿宋_GBK" w:cs="Times New Roman"/>
          <w:sz w:val="32"/>
        </w:rPr>
        <w:t>“</w:t>
      </w:r>
      <w:r>
        <w:rPr>
          <w:rFonts w:ascii="Times New Roman" w:hAnsi="Times New Roman" w:eastAsia="方正黑体_GBK" w:cs="Times New Roman"/>
          <w:sz w:val="32"/>
        </w:rPr>
        <w:t>三公</w:t>
      </w:r>
      <w:r>
        <w:rPr>
          <w:rFonts w:ascii="Times New Roman" w:hAnsi="Times New Roman" w:eastAsia="方正仿宋_GBK" w:cs="Times New Roman"/>
          <w:sz w:val="32"/>
        </w:rPr>
        <w:t>”</w:t>
      </w:r>
      <w:r>
        <w:rPr>
          <w:rFonts w:ascii="Times New Roman" w:hAnsi="Times New Roman" w:eastAsia="方正黑体_GBK" w:cs="Times New Roman"/>
          <w:sz w:val="32"/>
        </w:rPr>
        <w:t>经费情况说明</w:t>
      </w:r>
    </w:p>
    <w:p>
      <w:pPr>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本单位2022年、2023年均无“三公”经费预算。</w:t>
      </w:r>
    </w:p>
    <w:p>
      <w:pPr>
        <w:spacing w:line="600" w:lineRule="exact"/>
        <w:ind w:firstLine="640" w:firstLineChars="200"/>
        <w:rPr>
          <w:rFonts w:ascii="Times New Roman" w:hAnsi="Times New Roman" w:eastAsia="方正黑体_GBK" w:cs="Times New Roman"/>
          <w:sz w:val="32"/>
        </w:rPr>
      </w:pPr>
      <w:r>
        <w:rPr>
          <w:rFonts w:ascii="Times New Roman" w:hAnsi="Times New Roman" w:eastAsia="方正黑体_GBK" w:cs="Times New Roman"/>
          <w:sz w:val="32"/>
        </w:rPr>
        <w:t>五、其他重要事项的情况说明</w:t>
      </w:r>
    </w:p>
    <w:p>
      <w:pPr>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1．我单位不在机关运行经费统计范围之内。</w:t>
      </w:r>
    </w:p>
    <w:p>
      <w:pPr>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2．政府采购情况。本单位2022年、2023年均无政府采购预算。</w:t>
      </w:r>
    </w:p>
    <w:p>
      <w:pPr>
        <w:ind w:firstLine="640" w:firstLineChars="200"/>
        <w:rPr>
          <w:rFonts w:ascii="Times New Roman" w:hAnsi="Times New Roman" w:eastAsia="方正仿宋_GBK" w:cs="Times New Roman"/>
          <w:color w:val="000000"/>
          <w:sz w:val="32"/>
        </w:rPr>
      </w:pPr>
      <w:r>
        <w:rPr>
          <w:rFonts w:ascii="Times New Roman" w:hAnsi="Times New Roman" w:eastAsia="方正仿宋_GBK" w:cs="Times New Roman"/>
          <w:sz w:val="32"/>
        </w:rPr>
        <w:t>3．绩效目标设置情况。</w:t>
      </w:r>
      <w:r>
        <w:rPr>
          <w:rFonts w:ascii="Times New Roman" w:hAnsi="Times New Roman" w:eastAsia="方正仿宋_GBK" w:cs="Times New Roman"/>
          <w:color w:val="000000"/>
          <w:sz w:val="32"/>
        </w:rPr>
        <w:t>2023年项目支出均实行了绩效目标管理，涉及一般公共预算当年财政拨款</w:t>
      </w:r>
      <w:r>
        <w:rPr>
          <w:rFonts w:ascii="Times New Roman" w:hAnsi="Times New Roman" w:eastAsia="方正仿宋_GBK" w:cs="Times New Roman"/>
          <w:sz w:val="32"/>
        </w:rPr>
        <w:t>80.61</w:t>
      </w:r>
      <w:r>
        <w:rPr>
          <w:rFonts w:ascii="Times New Roman" w:hAnsi="Times New Roman" w:eastAsia="方正仿宋_GBK" w:cs="Times New Roman"/>
          <w:color w:val="000000"/>
          <w:sz w:val="32"/>
        </w:rPr>
        <w:t>万元。</w:t>
      </w:r>
    </w:p>
    <w:p>
      <w:pPr>
        <w:ind w:firstLine="640" w:firstLineChars="200"/>
        <w:rPr>
          <w:rFonts w:ascii="Times New Roman" w:hAnsi="Times New Roman" w:eastAsia="方正仿宋_GBK" w:cs="Times New Roman"/>
          <w:color w:val="000000"/>
          <w:sz w:val="32"/>
        </w:rPr>
      </w:pPr>
      <w:r>
        <w:rPr>
          <w:rFonts w:ascii="Times New Roman" w:hAnsi="Times New Roman" w:eastAsia="方正仿宋_GBK" w:cs="Times New Roman"/>
          <w:color w:val="000000"/>
          <w:sz w:val="32"/>
        </w:rPr>
        <w:t>4．国有资产占有使用情况。</w:t>
      </w:r>
      <w:r>
        <w:rPr>
          <w:rFonts w:hint="eastAsia" w:ascii="Times New Roman" w:hAnsi="Times New Roman" w:eastAsia="方正仿宋_GBK" w:cs="Times New Roman"/>
          <w:color w:val="000000"/>
          <w:sz w:val="32"/>
          <w:lang w:val="en-US" w:eastAsia="zh-CN"/>
        </w:rPr>
        <w:t>截至</w:t>
      </w:r>
      <w:bookmarkStart w:id="0" w:name="_GoBack"/>
      <w:bookmarkEnd w:id="0"/>
      <w:r>
        <w:rPr>
          <w:rFonts w:ascii="Times New Roman" w:hAnsi="Times New Roman" w:eastAsia="方正仿宋_GBK" w:cs="Times New Roman"/>
          <w:color w:val="000000"/>
          <w:sz w:val="32"/>
        </w:rPr>
        <w:t>2022年12月，所属各预算单位共有车辆0辆，其中一般公务用车0辆、执勤执法用车0辆。2023年一般公共预算安排购置车辆0辆，其中一般公务用车 辆、执勤执法用车0辆。</w:t>
      </w:r>
    </w:p>
    <w:p>
      <w:pPr>
        <w:spacing w:line="600" w:lineRule="exact"/>
        <w:ind w:left="640"/>
        <w:rPr>
          <w:rFonts w:ascii="Times New Roman" w:hAnsi="Times New Roman" w:eastAsia="方正黑体_GBK" w:cs="Times New Roman"/>
          <w:sz w:val="32"/>
        </w:rPr>
      </w:pPr>
      <w:r>
        <w:rPr>
          <w:rFonts w:ascii="Times New Roman" w:hAnsi="Times New Roman" w:eastAsia="方正黑体_GBK" w:cs="Times New Roman"/>
          <w:sz w:val="32"/>
        </w:rPr>
        <w:t>六、专业性名词解释</w:t>
      </w:r>
    </w:p>
    <w:p>
      <w:pPr>
        <w:pStyle w:val="7"/>
        <w:tabs>
          <w:tab w:val="center" w:pos="4153"/>
          <w:tab w:val="left" w:pos="7275"/>
        </w:tabs>
        <w:spacing w:line="600" w:lineRule="exact"/>
        <w:ind w:firstLine="640"/>
        <w:jc w:val="left"/>
        <w:rPr>
          <w:rFonts w:ascii="Times New Roman" w:hAnsi="Times New Roman" w:eastAsia="方正仿宋_GBK"/>
          <w:sz w:val="32"/>
          <w:szCs w:val="32"/>
        </w:rPr>
      </w:pPr>
      <w:r>
        <w:rPr>
          <w:rFonts w:ascii="Times New Roman" w:hAnsi="Times New Roman" w:eastAsia="方正楷体_GBK"/>
          <w:sz w:val="32"/>
        </w:rPr>
        <w:t>（一）财政拨款收入：</w:t>
      </w:r>
      <w:r>
        <w:rPr>
          <w:rFonts w:ascii="Times New Roman" w:hAnsi="Times New Roman" w:eastAsia="方正仿宋_GBK"/>
          <w:sz w:val="32"/>
          <w:szCs w:val="32"/>
        </w:rPr>
        <w:t>指本年度从本级财政部门取得的财政拨款，包括一般公共预算财政拨款和政府性基金预算财政拨款。</w:t>
      </w:r>
    </w:p>
    <w:p>
      <w:pPr>
        <w:pStyle w:val="7"/>
        <w:tabs>
          <w:tab w:val="center" w:pos="4153"/>
          <w:tab w:val="left" w:pos="7275"/>
        </w:tabs>
        <w:spacing w:line="600" w:lineRule="exact"/>
        <w:ind w:firstLine="640"/>
        <w:jc w:val="left"/>
        <w:rPr>
          <w:rFonts w:ascii="Times New Roman" w:hAnsi="Times New Roman" w:eastAsia="方正仿宋_GBK"/>
          <w:sz w:val="32"/>
          <w:szCs w:val="32"/>
        </w:rPr>
      </w:pPr>
      <w:r>
        <w:rPr>
          <w:rFonts w:ascii="Times New Roman" w:hAnsi="Times New Roman" w:eastAsia="方正楷体_GBK"/>
          <w:sz w:val="32"/>
        </w:rPr>
        <w:t>（二）其他收入：</w:t>
      </w:r>
      <w:r>
        <w:rPr>
          <w:rFonts w:ascii="Times New Roman" w:hAnsi="Times New Roman" w:eastAsia="方正仿宋_GBK"/>
          <w:sz w:val="32"/>
          <w:szCs w:val="32"/>
        </w:rPr>
        <w:t>指单位取得的除“财政拨款收入”、“事业收入”、“经营收入”等以外的收入。</w:t>
      </w:r>
    </w:p>
    <w:p>
      <w:pPr>
        <w:pStyle w:val="7"/>
        <w:tabs>
          <w:tab w:val="center" w:pos="4153"/>
          <w:tab w:val="left" w:pos="7275"/>
        </w:tabs>
        <w:spacing w:line="600" w:lineRule="exact"/>
        <w:ind w:firstLine="640"/>
        <w:jc w:val="left"/>
        <w:rPr>
          <w:rFonts w:ascii="Times New Roman" w:hAnsi="Times New Roman" w:eastAsia="方正仿宋_GBK"/>
          <w:sz w:val="32"/>
          <w:szCs w:val="32"/>
        </w:rPr>
      </w:pPr>
      <w:r>
        <w:rPr>
          <w:rFonts w:ascii="Times New Roman" w:hAnsi="Times New Roman" w:eastAsia="方正楷体_GBK"/>
          <w:sz w:val="32"/>
        </w:rPr>
        <w:t>（三）基本支出：</w:t>
      </w:r>
      <w:r>
        <w:rPr>
          <w:rFonts w:ascii="Times New Roman" w:hAnsi="Times New Roman" w:eastAsia="方正仿宋_GBK"/>
          <w:sz w:val="32"/>
          <w:szCs w:val="32"/>
        </w:rPr>
        <w:t>指为保障机构正常运转、完成日常工作任务而发生的人员经费和公用经费。</w:t>
      </w:r>
    </w:p>
    <w:p>
      <w:pPr>
        <w:pStyle w:val="7"/>
        <w:tabs>
          <w:tab w:val="center" w:pos="4153"/>
          <w:tab w:val="left" w:pos="7275"/>
        </w:tabs>
        <w:spacing w:line="600" w:lineRule="exact"/>
        <w:ind w:firstLine="640"/>
        <w:jc w:val="left"/>
        <w:rPr>
          <w:rFonts w:ascii="Times New Roman" w:hAnsi="Times New Roman" w:eastAsia="方正仿宋_GBK"/>
          <w:sz w:val="32"/>
          <w:szCs w:val="32"/>
        </w:rPr>
      </w:pPr>
      <w:r>
        <w:rPr>
          <w:rFonts w:ascii="Times New Roman" w:hAnsi="Times New Roman" w:eastAsia="方正楷体_GBK"/>
          <w:sz w:val="32"/>
        </w:rPr>
        <w:t>（四）项目支出：</w:t>
      </w:r>
      <w:r>
        <w:rPr>
          <w:rFonts w:ascii="Times New Roman" w:hAnsi="Times New Roman" w:eastAsia="方正仿宋_GBK"/>
          <w:sz w:val="32"/>
          <w:szCs w:val="32"/>
        </w:rPr>
        <w:t>指在基本支出之外为完成特定行政任务和事业发展目标所发生的支出。</w:t>
      </w:r>
    </w:p>
    <w:p>
      <w:pPr>
        <w:ind w:firstLine="640" w:firstLineChars="200"/>
        <w:rPr>
          <w:rFonts w:ascii="Times New Roman" w:hAnsi="Times New Roman" w:eastAsia="方正仿宋_GBK" w:cs="Times New Roman"/>
          <w:b/>
          <w:sz w:val="32"/>
        </w:rPr>
      </w:pPr>
      <w:r>
        <w:rPr>
          <w:rFonts w:ascii="Times New Roman" w:hAnsi="Times New Roman" w:eastAsia="方正楷体_GBK" w:cs="Times New Roman"/>
          <w:sz w:val="32"/>
        </w:rPr>
        <w:t>（五）</w:t>
      </w:r>
      <w:r>
        <w:rPr>
          <w:rFonts w:ascii="Times New Roman" w:hAnsi="Times New Roman" w:eastAsia="方正仿宋_GBK" w:cs="Times New Roman"/>
          <w:sz w:val="32"/>
        </w:rPr>
        <w:t>“</w:t>
      </w:r>
      <w:r>
        <w:rPr>
          <w:rFonts w:ascii="Times New Roman" w:hAnsi="Times New Roman" w:eastAsia="方正楷体_GBK" w:cs="Times New Roman"/>
          <w:sz w:val="32"/>
        </w:rPr>
        <w:t>三公</w:t>
      </w:r>
      <w:r>
        <w:rPr>
          <w:rFonts w:ascii="Times New Roman" w:hAnsi="Times New Roman" w:eastAsia="方正仿宋_GBK" w:cs="Times New Roman"/>
          <w:sz w:val="32"/>
        </w:rPr>
        <w:t>”</w:t>
      </w:r>
      <w:r>
        <w:rPr>
          <w:rFonts w:ascii="Times New Roman" w:hAnsi="Times New Roman" w:eastAsia="方正楷体_GBK" w:cs="Times New Roman"/>
          <w:sz w:val="32"/>
        </w:rPr>
        <w:t>经费：</w:t>
      </w:r>
      <w:r>
        <w:rPr>
          <w:rFonts w:ascii="Times New Roman" w:hAnsi="Times New Roman" w:eastAsia="方正仿宋_GBK" w:cs="Times New Roman"/>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rPr>
          <w:rFonts w:ascii="Times New Roman" w:hAnsi="Times New Roman" w:cs="Times New Roman"/>
        </w:rPr>
      </w:pPr>
      <w:r>
        <w:rPr>
          <w:rFonts w:ascii="Times New Roman" w:hAnsi="Times New Roman" w:eastAsia="方正仿宋_GBK" w:cs="Times New Roman"/>
          <w:b/>
          <w:sz w:val="32"/>
        </w:rPr>
        <w:t>部门预算公开联系人：邓传付</w:t>
      </w:r>
      <w:r>
        <w:rPr>
          <w:rFonts w:hint="eastAsia" w:ascii="Times New Roman" w:hAnsi="Times New Roman" w:eastAsia="方正仿宋_GBK" w:cs="Times New Roman"/>
          <w:b/>
          <w:sz w:val="32"/>
        </w:rPr>
        <w:t xml:space="preserve">  </w:t>
      </w:r>
      <w:r>
        <w:rPr>
          <w:rFonts w:ascii="Times New Roman" w:hAnsi="Times New Roman" w:eastAsia="方正仿宋_GBK" w:cs="Times New Roman"/>
          <w:b/>
          <w:sz w:val="32"/>
        </w:rPr>
        <w:t>联系方式：</w:t>
      </w:r>
      <w:r>
        <w:rPr>
          <w:rFonts w:hint="eastAsia" w:ascii="Times New Roman" w:hAnsi="Times New Roman" w:eastAsia="方正仿宋_GBK" w:cs="Times New Roman"/>
          <w:b/>
          <w:sz w:val="32"/>
        </w:rPr>
        <w:t>（邓传付，电话：</w:t>
      </w:r>
      <w:r>
        <w:rPr>
          <w:rFonts w:ascii="Times New Roman" w:hAnsi="Times New Roman" w:eastAsia="方正仿宋_GBK" w:cs="Times New Roman"/>
          <w:b/>
          <w:sz w:val="32"/>
        </w:rPr>
        <w:t>023-52812600</w:t>
      </w:r>
      <w:r>
        <w:rPr>
          <w:rFonts w:hint="eastAsia" w:ascii="Times New Roman" w:hAnsi="Times New Roman" w:eastAsia="方正仿宋_GBK" w:cs="Times New Roman"/>
          <w:b/>
          <w:sz w:val="32"/>
        </w:rPr>
        <w:t>）</w:t>
      </w:r>
    </w:p>
    <w:sectPr>
      <w:footerReference r:id="rId3" w:type="default"/>
      <w:footerReference r:id="rId4" w:type="even"/>
      <w:pgSz w:w="11906" w:h="16838"/>
      <w:pgMar w:top="1814" w:right="1531" w:bottom="1814" w:left="1531" w:header="851" w:footer="1418"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420" w:rightChars="200"/>
      <w:jc w:val="right"/>
      <w:rPr>
        <w:rFonts w:ascii="Times New Roman" w:hAnsi="Times New Roman" w:cs="Times New Roman"/>
        <w:sz w:val="28"/>
        <w:szCs w:val="28"/>
      </w:rPr>
    </w:pPr>
    <w:r>
      <w:rPr>
        <w:rFonts w:ascii="Times New Roman" w:hAnsi="Times New Roman" w:cs="Times New Roman"/>
        <w:sz w:val="28"/>
        <w:szCs w:val="28"/>
      </w:rPr>
      <w:t>—</w:t>
    </w:r>
    <w:sdt>
      <w:sdtPr>
        <w:rPr>
          <w:rFonts w:ascii="Times New Roman" w:hAnsi="Times New Roman" w:cs="Times New Roman"/>
          <w:sz w:val="28"/>
          <w:szCs w:val="28"/>
        </w:rPr>
        <w:id w:val="-1345702473"/>
      </w:sdtPr>
      <w:sdtEndPr>
        <w:rPr>
          <w:rFonts w:ascii="Times New Roman" w:hAnsi="Times New Roman" w:cs="Times New Roman"/>
          <w:sz w:val="28"/>
          <w:szCs w:val="28"/>
        </w:rPr>
      </w:sdtEndPr>
      <w:sdtContent>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4</w:t>
        </w:r>
        <w:r>
          <w:rPr>
            <w:rFonts w:ascii="Times New Roman" w:hAnsi="Times New Roman" w:cs="Times New Roman"/>
            <w:sz w:val="28"/>
            <w:szCs w:val="28"/>
          </w:rPr>
          <w:fldChar w:fldCharType="end"/>
        </w:r>
        <w:r>
          <w:rPr>
            <w:rFonts w:ascii="Times New Roman" w:hAnsi="Times New Roman" w:cs="Times New Roman"/>
            <w:sz w:val="28"/>
            <w:szCs w:val="28"/>
          </w:rPr>
          <w:t xml:space="preserve"> </w:t>
        </w:r>
      </w:sdtContent>
    </w:sdt>
    <w:r>
      <w:rPr>
        <w:rFonts w:ascii="Times New Roman" w:hAnsi="Times New Roman" w:cs="Times New Roman"/>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420" w:leftChars="200"/>
      <w:rPr>
        <w:rFonts w:ascii="Times New Roman" w:hAnsi="Times New Roman" w:cs="Times New Roman"/>
        <w:sz w:val="28"/>
        <w:szCs w:val="28"/>
      </w:rPr>
    </w:pPr>
    <w:r>
      <w:rPr>
        <w:rFonts w:ascii="Times New Roman" w:hAnsi="Times New Roman" w:cs="Times New Roman"/>
        <w:sz w:val="28"/>
        <w:szCs w:val="28"/>
      </w:rPr>
      <w:t>—</w:t>
    </w:r>
    <w:sdt>
      <w:sdtPr>
        <w:rPr>
          <w:rFonts w:ascii="Times New Roman" w:hAnsi="Times New Roman" w:cs="Times New Roman"/>
          <w:sz w:val="28"/>
          <w:szCs w:val="28"/>
        </w:rPr>
        <w:id w:val="-1144127855"/>
      </w:sdtPr>
      <w:sdtEndPr>
        <w:rPr>
          <w:rFonts w:ascii="Times New Roman" w:hAnsi="Times New Roman" w:cs="Times New Roman"/>
          <w:sz w:val="28"/>
          <w:szCs w:val="28"/>
        </w:rPr>
      </w:sdtEndPr>
      <w:sdtContent>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6</w:t>
        </w:r>
        <w:r>
          <w:rPr>
            <w:rFonts w:ascii="Times New Roman" w:hAnsi="Times New Roman" w:cs="Times New Roman"/>
            <w:sz w:val="28"/>
            <w:szCs w:val="28"/>
          </w:rPr>
          <w:fldChar w:fldCharType="end"/>
        </w:r>
        <w:r>
          <w:rPr>
            <w:rFonts w:ascii="Times New Roman" w:hAnsi="Times New Roman" w:cs="Times New Roman"/>
            <w:sz w:val="28"/>
            <w:szCs w:val="28"/>
          </w:rPr>
          <w:t xml:space="preserve"> </w:t>
        </w:r>
      </w:sdtContent>
    </w:sdt>
    <w:r>
      <w:rPr>
        <w:rFonts w:ascii="Times New Roman" w:hAnsi="Times New Roman" w:cs="Times New Roman"/>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FkYjQzZWY3M2U2NGFhODJhNzg4ZjZhNTZmZTQyMWEifQ=="/>
  </w:docVars>
  <w:rsids>
    <w:rsidRoot w:val="3DDE2426"/>
    <w:rsid w:val="000013D7"/>
    <w:rsid w:val="00326B73"/>
    <w:rsid w:val="00333317"/>
    <w:rsid w:val="00405734"/>
    <w:rsid w:val="004C3EF9"/>
    <w:rsid w:val="004D5BF4"/>
    <w:rsid w:val="004E0293"/>
    <w:rsid w:val="00671F3D"/>
    <w:rsid w:val="00707253"/>
    <w:rsid w:val="007817FF"/>
    <w:rsid w:val="00785F85"/>
    <w:rsid w:val="00826210"/>
    <w:rsid w:val="00BB31D4"/>
    <w:rsid w:val="00BF3500"/>
    <w:rsid w:val="00CB24F3"/>
    <w:rsid w:val="00D23575"/>
    <w:rsid w:val="00E3708B"/>
    <w:rsid w:val="00E41D97"/>
    <w:rsid w:val="3DDE2426"/>
    <w:rsid w:val="4D726E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2"/>
    <w:uiPriority w:val="0"/>
    <w:rPr>
      <w:sz w:val="18"/>
      <w:szCs w:val="18"/>
    </w:r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link w:val="11"/>
    <w:uiPriority w:val="0"/>
    <w:pPr>
      <w:pBdr>
        <w:bottom w:val="single" w:color="auto" w:sz="6" w:space="1"/>
      </w:pBdr>
      <w:tabs>
        <w:tab w:val="center" w:pos="4153"/>
        <w:tab w:val="right" w:pos="8306"/>
      </w:tabs>
      <w:snapToGrid w:val="0"/>
      <w:jc w:val="center"/>
    </w:pPr>
    <w:rPr>
      <w:sz w:val="18"/>
      <w:szCs w:val="18"/>
    </w:rPr>
  </w:style>
  <w:style w:type="paragraph" w:customStyle="1" w:styleId="7">
    <w:name w:val="_Style 7"/>
    <w:basedOn w:val="1"/>
    <w:next w:val="8"/>
    <w:qFormat/>
    <w:uiPriority w:val="34"/>
    <w:pPr>
      <w:ind w:firstLine="420" w:firstLineChars="200"/>
    </w:pPr>
    <w:rPr>
      <w:rFonts w:ascii="Calibri" w:hAnsi="Calibri" w:eastAsia="宋体" w:cs="Times New Roman"/>
    </w:rPr>
  </w:style>
  <w:style w:type="paragraph" w:customStyle="1" w:styleId="8">
    <w:name w:val="List Paragraph"/>
    <w:basedOn w:val="1"/>
    <w:qFormat/>
    <w:uiPriority w:val="34"/>
    <w:pPr>
      <w:ind w:firstLine="420" w:firstLineChars="200"/>
    </w:pPr>
  </w:style>
  <w:style w:type="character" w:customStyle="1" w:styleId="9">
    <w:name w:val="16"/>
    <w:basedOn w:val="5"/>
    <w:uiPriority w:val="0"/>
    <w:rPr>
      <w:rFonts w:hint="default" w:ascii="Times New Roman" w:hAnsi="Times New Roman" w:cs="Times New Roman"/>
      <w:b/>
    </w:rPr>
  </w:style>
  <w:style w:type="paragraph" w:customStyle="1" w:styleId="10">
    <w:name w:val="普通(网站) Char"/>
    <w:basedOn w:val="1"/>
    <w:qFormat/>
    <w:uiPriority w:val="0"/>
    <w:pPr>
      <w:spacing w:beforeAutospacing="1" w:afterAutospacing="1"/>
      <w:jc w:val="left"/>
    </w:pPr>
    <w:rPr>
      <w:rFonts w:hint="eastAsia" w:ascii="宋体" w:hAnsi="宋体" w:eastAsia="宋体" w:cs="Times New Roman"/>
      <w:kern w:val="0"/>
      <w:sz w:val="24"/>
      <w:szCs w:val="24"/>
    </w:rPr>
  </w:style>
  <w:style w:type="character" w:customStyle="1" w:styleId="11">
    <w:name w:val="页眉 Char"/>
    <w:basedOn w:val="5"/>
    <w:link w:val="4"/>
    <w:qFormat/>
    <w:uiPriority w:val="0"/>
    <w:rPr>
      <w:kern w:val="2"/>
      <w:sz w:val="18"/>
      <w:szCs w:val="18"/>
    </w:rPr>
  </w:style>
  <w:style w:type="character" w:customStyle="1" w:styleId="12">
    <w:name w:val="批注框文本 Char"/>
    <w:basedOn w:val="5"/>
    <w:link w:val="2"/>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Users</Company>
  <Pages>4</Pages>
  <Words>234</Words>
  <Characters>1337</Characters>
  <Lines>11</Lines>
  <Paragraphs>3</Paragraphs>
  <TotalTime>0</TotalTime>
  <ScaleCrop>false</ScaleCrop>
  <LinksUpToDate>false</LinksUpToDate>
  <CharactersWithSpaces>1568</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2023-02-28T02:32:00Z</dcterms:created>
  <dc:creator>至斯</dc:creator>
  <cp:lastModifiedBy>DELL</cp:lastModifiedBy>
  <dcterms:modified xsi:type="dcterms:W3CDTF">2023-03-15T09:34:28Z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6C512435C1DF4E3799FB93C19047ECA2</vt:lpwstr>
  </property>
</Properties>
</file>