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重庆市开州区汉丰第五小学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52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部门现行的职能职责：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pStyle w:val="7"/>
        <w:tabs>
          <w:tab w:val="center" w:pos="4153"/>
          <w:tab w:val="left" w:pos="7275"/>
        </w:tabs>
        <w:spacing w:line="600" w:lineRule="exact"/>
        <w:ind w:left="640" w:firstLine="0" w:firstLineChars="0"/>
        <w:jc w:val="left"/>
        <w:rPr>
          <w:rFonts w:ascii="Times New Roman" w:hAnsi="Times New Roman" w:eastAsia="方正仿宋_GBK"/>
          <w:sz w:val="32"/>
        </w:rPr>
      </w:pPr>
      <w:r>
        <w:rPr>
          <w:rFonts w:ascii="Times New Roman" w:hAnsi="Times New Roman" w:eastAsia="方正仿宋_GBK"/>
          <w:sz w:val="32"/>
        </w:rPr>
        <w:t>（二）单位构成</w:t>
      </w:r>
    </w:p>
    <w:p>
      <w:pPr>
        <w:pStyle w:val="7"/>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本单位内设4个机构处室，分别是教导处、总务处、德育处、安稳办。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3397.51万元，其中：一般公共预算拨款3397.51万元。收入较2022年增加275.02万元，主要是教育支出拨款增加220.35万元，社会保障和就业支出拨款增加34.26万元，卫生健康支出拨款增加10.63万元，住房保障支出拨款增加9.77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2023年年初预算数3397.51万元，其中：教育支出预算2423.89万元，社会保障和就业支出预算609.89万元，卫生健康支出预算 195.81万元，住房保障支出预算167.92万元。支出预算较2022年增加275.02万元，主要是基本支出预算增加222.81万元，项目支出预算增加52.21万元。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2023年一般公共预算财政拨款收入3397.51万元，一般公共预算财政拨款支出3397.51万元，比2022年增加275.02万元。其中：基本支出3322.86万元，比2022年增加222.81万元，主要原因是人员经费增加，</w:t>
      </w:r>
      <w:r>
        <w:rPr>
          <w:rFonts w:ascii="Times New Roman" w:hAnsi="Times New Roman" w:eastAsia="方正仿宋_GBK" w:cs="Times New Roman"/>
          <w:bCs/>
          <w:sz w:val="32"/>
          <w:szCs w:val="32"/>
        </w:rPr>
        <w:t>在职人员超额绩效调标，退休人员健康休养费调增</w:t>
      </w:r>
      <w:r>
        <w:rPr>
          <w:rFonts w:ascii="Times New Roman" w:hAnsi="Times New Roman" w:eastAsia="方正仿宋_GBK" w:cs="Times New Roman"/>
          <w:sz w:val="32"/>
        </w:rPr>
        <w:t>等，主要用于保障在职人员工资福利及社会保险缴费，离休人员离休费，退休人员补助等，保障部门正常运转的各项商品服务支出；项目支出74.65万元，比2022年增加52.21万元，主要原因是增加义务教育薄弱环节改善与能力提升预算资金、学生资助资金，主要用于计算机室和实验室建设、困难学生资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2023年“三公”经费预算0万元，比2022年减少0万元。其中：因公出国（境）费用0万元，比2022年减少0万元；公务接待费0万元，比2022年减少0万元；公务用车运行维护费0万元，比2022年减少0万元；公务用车购置费 0万元，比2022年减少0万元。</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74.65</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r>
        <w:rPr>
          <w:rFonts w:ascii="Times New Roman" w:hAnsi="Times New Roman" w:eastAsia="方正仿宋_GBK" w:cs="Times New Roman"/>
          <w:color w:val="000000"/>
          <w:sz w:val="32"/>
        </w:rPr>
        <w:t>2022年12月，所属各预算单位共有车辆0辆，其中一般公务用车0辆、执勤执法用车</w:t>
      </w:r>
      <w:r>
        <w:rPr>
          <w:rFonts w:hint="eastAsia" w:ascii="Times New Roman" w:hAnsi="Times New Roman" w:eastAsia="方正仿宋_GBK" w:cs="Times New Roman"/>
          <w:color w:val="000000"/>
          <w:sz w:val="32"/>
          <w:lang w:val="en-US" w:eastAsia="zh-CN"/>
        </w:rPr>
        <w:t>0</w:t>
      </w:r>
      <w:r>
        <w:rPr>
          <w:rFonts w:ascii="Times New Roman" w:hAnsi="Times New Roman" w:eastAsia="方正仿宋_GBK" w:cs="Times New Roman"/>
          <w:color w:val="000000"/>
          <w:sz w:val="32"/>
        </w:rPr>
        <w:t>辆。2023年一般公共预算安排购置车辆0辆，其中一般公务用车</w:t>
      </w:r>
      <w:r>
        <w:rPr>
          <w:rFonts w:hint="eastAsia" w:ascii="Times New Roman" w:hAnsi="Times New Roman" w:eastAsia="方正仿宋_GBK" w:cs="Times New Roman"/>
          <w:color w:val="000000"/>
          <w:sz w:val="32"/>
          <w:lang w:val="en-US" w:eastAsia="zh-CN"/>
        </w:rPr>
        <w:t>0</w:t>
      </w:r>
      <w:r>
        <w:rPr>
          <w:rFonts w:ascii="Times New Roman" w:hAnsi="Times New Roman" w:eastAsia="方正仿宋_GBK" w:cs="Times New Roman"/>
          <w:color w:val="000000"/>
          <w:sz w:val="32"/>
        </w:rPr>
        <w:t>辆、执勤执法用车0辆。</w:t>
      </w:r>
    </w:p>
    <w:p>
      <w:pPr>
        <w:spacing w:line="600" w:lineRule="exact"/>
        <w:ind w:left="640"/>
        <w:rPr>
          <w:rFonts w:ascii="Times New Roman" w:hAnsi="Times New Roman" w:eastAsia="方正黑体_GBK" w:cs="Times New Roman"/>
          <w:sz w:val="32"/>
        </w:rPr>
      </w:pPr>
      <w:bookmarkStart w:id="0" w:name="_GoBack"/>
      <w:bookmarkEnd w:id="0"/>
      <w:r>
        <w:rPr>
          <w:rFonts w:ascii="Times New Roman" w:hAnsi="Times New Roman" w:eastAsia="方正黑体_GBK" w:cs="Times New Roman"/>
          <w:sz w:val="32"/>
        </w:rPr>
        <w:t>六、专业性名词解释</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（二）其他收入：</w:t>
      </w:r>
      <w:r>
        <w:rPr>
          <w:rFonts w:ascii="Times New Roman" w:hAnsi="Times New Roman" w:eastAsia="方正仿宋_GBK" w:cs="Times New Roman"/>
          <w:sz w:val="32"/>
          <w:szCs w:val="32"/>
        </w:rPr>
        <w:t>指单位取得的除“财政拨款收入” “事业收入” “经营收入”等以外的收入。</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color w:val="000000"/>
          <w:sz w:val="32"/>
        </w:rPr>
      </w:pPr>
      <w:r>
        <w:rPr>
          <w:rFonts w:hint="eastAsia" w:ascii="Times New Roman" w:hAnsi="Times New Roman" w:eastAsia="方正仿宋_GBK" w:cs="Times New Roman"/>
          <w:b/>
          <w:sz w:val="32"/>
        </w:rPr>
        <w:t>部门</w:t>
      </w:r>
      <w:r>
        <w:rPr>
          <w:rFonts w:ascii="Times New Roman" w:hAnsi="Times New Roman" w:eastAsia="方正仿宋_GBK" w:cs="Times New Roman"/>
          <w:b/>
          <w:sz w:val="32"/>
        </w:rPr>
        <w:t>预算公开联系人：邓武才</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邓武才</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023-52218295</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BF"/>
    <w:rsid w:val="00032D2D"/>
    <w:rsid w:val="00080AC7"/>
    <w:rsid w:val="000F0780"/>
    <w:rsid w:val="00213CBA"/>
    <w:rsid w:val="003315C9"/>
    <w:rsid w:val="003F660B"/>
    <w:rsid w:val="004175D9"/>
    <w:rsid w:val="0044526A"/>
    <w:rsid w:val="004525D1"/>
    <w:rsid w:val="00482319"/>
    <w:rsid w:val="004B6A17"/>
    <w:rsid w:val="005B5CEE"/>
    <w:rsid w:val="007C0632"/>
    <w:rsid w:val="008256DA"/>
    <w:rsid w:val="008A2C4C"/>
    <w:rsid w:val="00A64861"/>
    <w:rsid w:val="00A76805"/>
    <w:rsid w:val="00A827AA"/>
    <w:rsid w:val="00AF012E"/>
    <w:rsid w:val="00B33947"/>
    <w:rsid w:val="00B403BF"/>
    <w:rsid w:val="00B836BC"/>
    <w:rsid w:val="00C1469E"/>
    <w:rsid w:val="00CF6CD3"/>
    <w:rsid w:val="00D6617D"/>
    <w:rsid w:val="00D8026A"/>
    <w:rsid w:val="00F00A25"/>
    <w:rsid w:val="00F73DB6"/>
    <w:rsid w:val="00FD70E3"/>
    <w:rsid w:val="1075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99"/>
    <w:rPr>
      <w:sz w:val="18"/>
      <w:szCs w:val="18"/>
    </w:rPr>
  </w:style>
  <w:style w:type="paragraph" w:customStyle="1" w:styleId="7">
    <w:name w:val="_Style 5"/>
    <w:basedOn w:val="1"/>
    <w:next w:val="8"/>
    <w:qFormat/>
    <w:uiPriority w:val="34"/>
    <w:pPr>
      <w:ind w:firstLine="420" w:firstLineChars="200"/>
    </w:pPr>
    <w:rPr>
      <w:rFonts w:ascii="Calibri" w:hAnsi="Calibri" w:eastAsia="宋体" w:cs="Times New Roman"/>
    </w:rPr>
  </w:style>
  <w:style w:type="paragraph" w:customStyle="1" w:styleId="8">
    <w:name w:val="List Paragraph"/>
    <w:basedOn w:val="1"/>
    <w:qFormat/>
    <w:uiPriority w:val="34"/>
    <w:pPr>
      <w:ind w:firstLine="420" w:firstLineChars="200"/>
    </w:pPr>
  </w:style>
  <w:style w:type="character" w:customStyle="1" w:styleId="9">
    <w:name w:val="页眉 Char"/>
    <w:basedOn w:val="4"/>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252</Words>
  <Characters>1442</Characters>
  <Lines>12</Lines>
  <Paragraphs>3</Paragraphs>
  <TotalTime>0</TotalTime>
  <ScaleCrop>false</ScaleCrop>
  <LinksUpToDate>false</LinksUpToDate>
  <CharactersWithSpaces>1691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2023-02-28T01:56:00Z</dcterms:created>
  <dc:creator>微软用户</dc:creator>
  <cp:lastModifiedBy>DELL</cp:lastModifiedBy>
  <dcterms:modified xsi:type="dcterms:W3CDTF">2023-03-15T09:03:16Z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