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方正仿宋_GBK" w:hAnsi="华文中宋" w:eastAsia="方正仿宋_GBK" w:cs="华文中宋"/>
          <w:b/>
          <w:sz w:val="32"/>
          <w:szCs w:val="32"/>
        </w:rPr>
      </w:pPr>
    </w:p>
    <w:p>
      <w:pPr>
        <w:spacing w:line="600" w:lineRule="exact"/>
        <w:jc w:val="center"/>
        <w:rPr>
          <w:rFonts w:ascii="方正小标宋_GBK" w:hAnsi="华文中宋" w:eastAsia="方正小标宋_GBK" w:cs="华文中宋"/>
          <w:sz w:val="44"/>
          <w:szCs w:val="44"/>
        </w:rPr>
      </w:pPr>
      <w:r>
        <w:rPr>
          <w:rFonts w:hint="eastAsia" w:ascii="方正小标宋_GBK" w:hAnsi="华文中宋" w:eastAsia="方正小标宋_GBK" w:cs="华文中宋"/>
          <w:sz w:val="44"/>
          <w:szCs w:val="44"/>
        </w:rPr>
        <w:t>重庆市开州区镇东街道社区卫生服务中心</w:t>
      </w:r>
    </w:p>
    <w:p>
      <w:pPr>
        <w:spacing w:line="600" w:lineRule="exact"/>
        <w:jc w:val="center"/>
        <w:rPr>
          <w:rFonts w:ascii="方正小标宋_GBK" w:hAnsi="华文中宋" w:eastAsia="方正小标宋_GBK" w:cs="华文中宋"/>
          <w:sz w:val="44"/>
          <w:szCs w:val="44"/>
        </w:rPr>
      </w:pPr>
      <w:r>
        <w:rPr>
          <w:rFonts w:hint="eastAsia" w:ascii="方正小标宋_GBK" w:hAnsi="华文中宋" w:eastAsia="方正小标宋_GBK" w:cs="华文中宋"/>
          <w:sz w:val="44"/>
          <w:szCs w:val="44"/>
        </w:rPr>
        <w:t>2022年部门预算公开说明</w:t>
      </w:r>
    </w:p>
    <w:p>
      <w:pPr>
        <w:spacing w:line="600" w:lineRule="exact"/>
        <w:ind w:firstLine="800" w:firstLineChars="200"/>
        <w:jc w:val="center"/>
        <w:rPr>
          <w:rFonts w:ascii="华文中宋" w:hAnsi="华文中宋" w:eastAsia="华文中宋" w:cs="华文中宋"/>
          <w:sz w:val="40"/>
          <w:szCs w:val="40"/>
        </w:rPr>
      </w:pPr>
    </w:p>
    <w:p>
      <w:pPr>
        <w:spacing w:line="600" w:lineRule="exact"/>
        <w:ind w:left="640"/>
        <w:rPr>
          <w:rFonts w:hint="eastAsia" w:ascii="方正黑体_GBK" w:hAnsi="黑体" w:eastAsia="方正黑体_GBK" w:cs="仿宋_GB2312"/>
          <w:sz w:val="32"/>
          <w:szCs w:val="32"/>
        </w:rPr>
      </w:pPr>
      <w:r>
        <w:rPr>
          <w:rFonts w:hint="eastAsia" w:ascii="方正黑体_GBK" w:hAnsi="黑体" w:eastAsia="方正黑体_GBK" w:cs="仿宋_GB2312"/>
          <w:sz w:val="32"/>
          <w:szCs w:val="32"/>
        </w:rPr>
        <w:t>一、单位基本情况</w:t>
      </w:r>
    </w:p>
    <w:p>
      <w:pPr>
        <w:spacing w:line="600" w:lineRule="exact"/>
        <w:ind w:firstLine="640" w:firstLineChars="200"/>
        <w:rPr>
          <w:rFonts w:hint="eastAsia" w:ascii="方正楷体_GBK" w:hAnsi="仿宋_GB2312" w:eastAsia="方正楷体_GBK" w:cs="仿宋_GB2312"/>
          <w:sz w:val="32"/>
        </w:rPr>
      </w:pPr>
      <w:r>
        <w:rPr>
          <w:rFonts w:hint="eastAsia" w:ascii="方正楷体_GBK" w:hAnsi="仿宋_GB2312" w:eastAsia="方正楷体_GBK" w:cs="仿宋_GB2312"/>
          <w:sz w:val="32"/>
        </w:rPr>
        <w:t>（一）职能职责</w:t>
      </w:r>
    </w:p>
    <w:p>
      <w:pPr>
        <w:widowControl/>
        <w:autoSpaceDE w:val="0"/>
        <w:snapToGrid w:val="0"/>
        <w:spacing w:line="600" w:lineRule="exact"/>
        <w:ind w:firstLine="640" w:firstLineChars="200"/>
        <w:jc w:val="left"/>
        <w:rPr>
          <w:rFonts w:hint="eastAsia" w:ascii="方正仿宋_GBK" w:hAnsi="宋体" w:eastAsia="方正仿宋_GBK" w:cs="宋体"/>
          <w:kern w:val="0"/>
          <w:sz w:val="32"/>
          <w:szCs w:val="32"/>
          <w:shd w:val="clear" w:color="auto" w:fill="FFFFFF"/>
        </w:rPr>
      </w:pPr>
      <w:r>
        <w:rPr>
          <w:rFonts w:hint="eastAsia" w:ascii="方正仿宋_GBK" w:eastAsia="方正仿宋_GBK"/>
          <w:kern w:val="0"/>
          <w:sz w:val="32"/>
          <w:szCs w:val="32"/>
          <w:shd w:val="clear" w:color="auto" w:fill="FFFFFF"/>
        </w:rPr>
        <w:t>重庆市开州区镇东街道社区卫生服务中心在履行职责过程中坚持和加强党对卫生健康工作的集中统一领导。主要职责是：</w:t>
      </w:r>
    </w:p>
    <w:p>
      <w:pPr>
        <w:widowControl/>
        <w:autoSpaceDE w:val="0"/>
        <w:snapToGrid w:val="0"/>
        <w:spacing w:line="600" w:lineRule="exact"/>
        <w:ind w:firstLine="640" w:firstLineChars="200"/>
        <w:jc w:val="left"/>
        <w:rPr>
          <w:rFonts w:hint="eastAsia" w:ascii="方正仿宋_GBK" w:hAnsi="宋体" w:eastAsia="方正仿宋_GBK" w:cs="宋体"/>
          <w:kern w:val="0"/>
          <w:sz w:val="32"/>
          <w:szCs w:val="32"/>
          <w:shd w:val="clear" w:color="auto" w:fill="FFFFFF"/>
        </w:rPr>
      </w:pPr>
      <w:r>
        <w:rPr>
          <w:rFonts w:hint="eastAsia" w:ascii="方正仿宋_GBK" w:eastAsia="方正仿宋_GBK"/>
          <w:kern w:val="0"/>
          <w:sz w:val="32"/>
          <w:szCs w:val="32"/>
          <w:shd w:val="clear" w:color="auto" w:fill="FFFFFF"/>
        </w:rPr>
        <w:t>1.社区预防。社区卫生诊断，传染病疫情报告和监测，预防接种，结核病、艾滋病等重大传染病预防，常见传染病防治，地方病、寄生虫病防治，健康档案管理，爱国卫生指导等。</w:t>
      </w:r>
    </w:p>
    <w:p>
      <w:pPr>
        <w:widowControl/>
        <w:autoSpaceDE w:val="0"/>
        <w:snapToGrid w:val="0"/>
        <w:spacing w:line="600" w:lineRule="exact"/>
        <w:ind w:firstLine="640" w:firstLineChars="200"/>
        <w:jc w:val="left"/>
        <w:rPr>
          <w:rFonts w:hint="eastAsia" w:ascii="方正仿宋_GBK" w:hAnsi="宋体" w:eastAsia="方正仿宋_GBK" w:cs="宋体"/>
          <w:kern w:val="0"/>
          <w:sz w:val="32"/>
          <w:szCs w:val="32"/>
          <w:shd w:val="clear" w:color="auto" w:fill="FFFFFF"/>
        </w:rPr>
      </w:pPr>
      <w:r>
        <w:rPr>
          <w:rFonts w:hint="eastAsia" w:ascii="方正仿宋_GBK" w:eastAsia="方正仿宋_GBK"/>
          <w:kern w:val="0"/>
          <w:sz w:val="32"/>
          <w:szCs w:val="32"/>
          <w:shd w:val="clear" w:color="auto" w:fill="FFFFFF"/>
        </w:rPr>
        <w:t>2.社区保健。妇女保健，儿童保健，老年保健等。</w:t>
      </w:r>
    </w:p>
    <w:p>
      <w:pPr>
        <w:widowControl/>
        <w:autoSpaceDE w:val="0"/>
        <w:snapToGrid w:val="0"/>
        <w:spacing w:line="600" w:lineRule="exact"/>
        <w:ind w:firstLine="640" w:firstLineChars="200"/>
        <w:jc w:val="left"/>
        <w:rPr>
          <w:rFonts w:hint="eastAsia" w:ascii="方正仿宋_GBK" w:hAnsi="宋体" w:eastAsia="方正仿宋_GBK" w:cs="宋体"/>
          <w:kern w:val="0"/>
          <w:sz w:val="32"/>
          <w:szCs w:val="32"/>
          <w:shd w:val="clear" w:color="auto" w:fill="FFFFFF"/>
        </w:rPr>
      </w:pPr>
      <w:r>
        <w:rPr>
          <w:rFonts w:hint="eastAsia" w:ascii="方正仿宋_GBK" w:eastAsia="方正仿宋_GBK"/>
          <w:kern w:val="0"/>
          <w:sz w:val="32"/>
          <w:szCs w:val="32"/>
          <w:shd w:val="clear" w:color="auto" w:fill="FFFFFF"/>
        </w:rPr>
        <w:t>3.社区医疗。一般常见病、多发病的诊疗，社区现场救护，慢性病筛查和重点慢性病病例管理，精神病患者管理，转诊服务等。</w:t>
      </w:r>
    </w:p>
    <w:p>
      <w:pPr>
        <w:widowControl/>
        <w:autoSpaceDE w:val="0"/>
        <w:snapToGrid w:val="0"/>
        <w:spacing w:line="600" w:lineRule="exact"/>
        <w:ind w:firstLine="640" w:firstLineChars="200"/>
        <w:jc w:val="left"/>
        <w:rPr>
          <w:rFonts w:hint="eastAsia" w:ascii="方正仿宋_GBK" w:hAnsi="宋体" w:eastAsia="方正仿宋_GBK" w:cs="宋体"/>
          <w:kern w:val="0"/>
          <w:sz w:val="32"/>
          <w:szCs w:val="32"/>
          <w:shd w:val="clear" w:color="auto" w:fill="FFFFFF"/>
        </w:rPr>
      </w:pPr>
      <w:r>
        <w:rPr>
          <w:rFonts w:hint="eastAsia" w:ascii="方正仿宋_GBK" w:eastAsia="方正仿宋_GBK"/>
          <w:kern w:val="0"/>
          <w:sz w:val="32"/>
          <w:szCs w:val="32"/>
          <w:shd w:val="clear" w:color="auto" w:fill="FFFFFF"/>
        </w:rPr>
        <w:t>4.社区康复。残疾康复，疾病恢复期康复，家庭和社区康复训练指导等。</w:t>
      </w:r>
    </w:p>
    <w:p>
      <w:pPr>
        <w:widowControl/>
        <w:autoSpaceDE w:val="0"/>
        <w:snapToGrid w:val="0"/>
        <w:spacing w:line="600" w:lineRule="exact"/>
        <w:ind w:firstLine="640" w:firstLineChars="200"/>
        <w:jc w:val="left"/>
        <w:rPr>
          <w:rFonts w:hint="eastAsia" w:ascii="方正仿宋_GBK" w:hAnsi="宋体" w:eastAsia="方正仿宋_GBK" w:cs="宋体"/>
          <w:kern w:val="0"/>
          <w:sz w:val="32"/>
          <w:szCs w:val="32"/>
          <w:shd w:val="clear" w:color="auto" w:fill="FFFFFF"/>
        </w:rPr>
      </w:pPr>
      <w:r>
        <w:rPr>
          <w:rFonts w:hint="eastAsia" w:ascii="方正仿宋_GBK" w:eastAsia="方正仿宋_GBK"/>
          <w:kern w:val="0"/>
          <w:sz w:val="32"/>
          <w:szCs w:val="32"/>
          <w:shd w:val="clear" w:color="auto" w:fill="FFFFFF"/>
        </w:rPr>
        <w:t>5.社区健康教育。卫生知识普及，个体和群体的健康管理，重点人群与重点场所健康教育，宣传健康行为和生活方式等。</w:t>
      </w:r>
    </w:p>
    <w:p>
      <w:pPr>
        <w:widowControl/>
        <w:autoSpaceDE w:val="0"/>
        <w:snapToGrid w:val="0"/>
        <w:spacing w:line="600" w:lineRule="exact"/>
        <w:ind w:firstLine="640" w:firstLineChars="200"/>
        <w:jc w:val="left"/>
        <w:rPr>
          <w:rFonts w:hint="eastAsia" w:ascii="方正仿宋_GBK" w:hAnsi="宋体" w:eastAsia="方正仿宋_GBK" w:cs="宋体"/>
          <w:kern w:val="0"/>
          <w:sz w:val="32"/>
          <w:szCs w:val="32"/>
          <w:shd w:val="clear" w:color="auto" w:fill="FFFFFF"/>
        </w:rPr>
      </w:pPr>
      <w:r>
        <w:rPr>
          <w:rFonts w:hint="eastAsia" w:ascii="方正仿宋_GBK" w:eastAsia="方正仿宋_GBK"/>
          <w:kern w:val="0"/>
          <w:sz w:val="32"/>
          <w:szCs w:val="32"/>
          <w:shd w:val="clear" w:color="auto" w:fill="FFFFFF"/>
        </w:rPr>
        <w:t>6.社区计划生育。计划生育技术服务与咨询指导，发放避孕药具等。</w:t>
      </w:r>
    </w:p>
    <w:p>
      <w:pPr>
        <w:widowControl/>
        <w:autoSpaceDE w:val="0"/>
        <w:snapToGrid w:val="0"/>
        <w:spacing w:line="600" w:lineRule="exact"/>
        <w:ind w:firstLine="640" w:firstLineChars="200"/>
        <w:jc w:val="left"/>
        <w:rPr>
          <w:rFonts w:hint="eastAsia" w:ascii="方正仿宋_GBK" w:eastAsia="方正仿宋_GBK"/>
          <w:kern w:val="0"/>
          <w:sz w:val="32"/>
          <w:szCs w:val="32"/>
          <w:shd w:val="clear" w:color="auto" w:fill="FFFFFF"/>
        </w:rPr>
      </w:pPr>
      <w:r>
        <w:rPr>
          <w:rFonts w:hint="eastAsia" w:ascii="方正仿宋_GBK" w:eastAsia="方正仿宋_GBK"/>
          <w:kern w:val="0"/>
          <w:sz w:val="32"/>
          <w:szCs w:val="32"/>
          <w:shd w:val="clear" w:color="auto" w:fill="FFFFFF"/>
        </w:rPr>
        <w:t>7.指导辖区内诊所、社区卫生服务站、村卫生室业务工作。</w:t>
      </w:r>
    </w:p>
    <w:p>
      <w:pPr>
        <w:spacing w:line="600" w:lineRule="exact"/>
        <w:ind w:firstLine="640" w:firstLineChars="200"/>
        <w:rPr>
          <w:rFonts w:ascii="方正楷体_GBK" w:hAnsi="仿宋_GB2312" w:eastAsia="方正楷体_GBK" w:cs="仿宋_GB2312"/>
          <w:sz w:val="32"/>
        </w:rPr>
      </w:pPr>
      <w:r>
        <w:rPr>
          <w:rFonts w:hint="eastAsia" w:ascii="方正楷体_GBK" w:hAnsi="仿宋_GB2312" w:eastAsia="方正楷体_GBK" w:cs="仿宋_GB2312"/>
          <w:sz w:val="32"/>
        </w:rPr>
        <w:t>（二）单位构成</w:t>
      </w:r>
    </w:p>
    <w:p>
      <w:pPr>
        <w:widowControl/>
        <w:autoSpaceDE w:val="0"/>
        <w:snapToGrid w:val="0"/>
        <w:spacing w:line="600" w:lineRule="exact"/>
        <w:ind w:firstLine="640" w:firstLineChars="200"/>
        <w:jc w:val="left"/>
        <w:rPr>
          <w:rFonts w:ascii="方正仿宋_GBK" w:eastAsia="方正仿宋_GBK"/>
          <w:kern w:val="0"/>
          <w:sz w:val="32"/>
          <w:szCs w:val="32"/>
          <w:shd w:val="clear" w:color="auto" w:fill="FFFFFF"/>
        </w:rPr>
      </w:pPr>
      <w:r>
        <w:rPr>
          <w:rFonts w:hint="eastAsia" w:ascii="方正仿宋_GBK" w:eastAsia="方正仿宋_GBK"/>
          <w:kern w:val="0"/>
          <w:sz w:val="32"/>
          <w:szCs w:val="32"/>
          <w:shd w:val="clear" w:color="auto" w:fill="FFFFFF"/>
        </w:rPr>
        <w:t>重庆市开州区镇东街道社区卫生服务中心下设有办公室、预防保健科、全科医疗科、内科、外科、妇产科、儿科、康复医学科、医学检验科、医学影像科、中医科、财务室、后勤科等</w:t>
      </w:r>
      <w:r>
        <w:rPr>
          <w:rFonts w:ascii="方正仿宋_GBK" w:eastAsia="方正仿宋_GBK"/>
          <w:kern w:val="0"/>
          <w:sz w:val="32"/>
          <w:szCs w:val="32"/>
          <w:shd w:val="clear" w:color="auto" w:fill="FFFFFF"/>
        </w:rPr>
        <w:t>13</w:t>
      </w:r>
      <w:r>
        <w:rPr>
          <w:rFonts w:hint="eastAsia" w:ascii="方正仿宋_GBK" w:eastAsia="方正仿宋_GBK"/>
          <w:kern w:val="0"/>
          <w:sz w:val="32"/>
          <w:szCs w:val="32"/>
          <w:shd w:val="clear" w:color="auto" w:fill="FFFFFF"/>
        </w:rPr>
        <w:t>个内设科室。</w:t>
      </w:r>
    </w:p>
    <w:p>
      <w:pPr>
        <w:spacing w:line="600" w:lineRule="exact"/>
        <w:ind w:firstLine="640" w:firstLineChars="200"/>
        <w:rPr>
          <w:rFonts w:ascii="方正仿宋_GBK" w:eastAsia="方正仿宋_GBK"/>
          <w:kern w:val="0"/>
          <w:sz w:val="32"/>
          <w:szCs w:val="32"/>
          <w:shd w:val="clear" w:color="auto" w:fill="FFFFFF"/>
        </w:rPr>
      </w:pPr>
      <w:r>
        <w:rPr>
          <w:rFonts w:hint="eastAsia" w:ascii="方正仿宋_GBK" w:eastAsia="方正仿宋_GBK"/>
          <w:kern w:val="0"/>
          <w:sz w:val="32"/>
          <w:szCs w:val="32"/>
          <w:shd w:val="clear" w:color="auto" w:fill="FFFFFF"/>
        </w:rPr>
        <w:t>从预算单位构成看，本单位是二级预算单位，主管部门是重庆市开州区卫生健康委员会。</w:t>
      </w:r>
    </w:p>
    <w:p>
      <w:pPr>
        <w:spacing w:line="600" w:lineRule="exact"/>
        <w:ind w:left="640"/>
        <w:rPr>
          <w:rFonts w:ascii="方正黑体_GBK" w:hAnsi="黑体" w:eastAsia="方正黑体_GBK" w:cs="仿宋_GB2312"/>
          <w:sz w:val="32"/>
          <w:szCs w:val="32"/>
        </w:rPr>
      </w:pPr>
      <w:r>
        <w:rPr>
          <w:rFonts w:hint="eastAsia" w:ascii="方正黑体_GBK" w:hAnsi="黑体" w:eastAsia="方正黑体_GBK" w:cs="仿宋_GB2312"/>
          <w:sz w:val="32"/>
          <w:szCs w:val="32"/>
        </w:rPr>
        <w:t>二、部门收支总体情况</w:t>
      </w:r>
    </w:p>
    <w:p>
      <w:pPr>
        <w:spacing w:line="600" w:lineRule="exact"/>
        <w:ind w:firstLine="640" w:firstLineChars="200"/>
        <w:rPr>
          <w:rFonts w:ascii="方正仿宋_GBK" w:eastAsia="方正仿宋_GBK"/>
          <w:kern w:val="0"/>
          <w:sz w:val="32"/>
          <w:szCs w:val="32"/>
          <w:shd w:val="clear" w:color="auto" w:fill="FFFFFF"/>
        </w:rPr>
      </w:pPr>
      <w:r>
        <w:rPr>
          <w:rFonts w:hint="eastAsia" w:ascii="方正楷体_GBK" w:hAnsi="仿宋_GB2312" w:eastAsia="方正楷体_GBK" w:cs="仿宋_GB2312"/>
          <w:sz w:val="32"/>
        </w:rPr>
        <w:t>（一）收入预算：</w:t>
      </w:r>
      <w:r>
        <w:rPr>
          <w:rFonts w:hint="eastAsia" w:ascii="方正仿宋_GBK" w:eastAsia="方正仿宋_GBK"/>
          <w:kern w:val="0"/>
          <w:sz w:val="32"/>
          <w:szCs w:val="32"/>
          <w:shd w:val="clear" w:color="auto" w:fill="FFFFFF"/>
        </w:rPr>
        <w:t>2022年年初预算数920.82 万元，其中：一般公共预算财政拨款收入244.16 万元，政府性基金预算拨款 0万元，国有资本经营预算收入0 万元，事业收入676.66万元，事业单位经营收入0 万元，其他收入0 万元。收入较2021年增加 29.06万元，主要是一般公共预算财政拨款增加0.52 万元，事业收入增加28.54万元。主要是基本支出预算收入增加。</w:t>
      </w:r>
    </w:p>
    <w:p>
      <w:pPr>
        <w:spacing w:line="600" w:lineRule="exact"/>
        <w:ind w:firstLine="640" w:firstLineChars="200"/>
        <w:rPr>
          <w:rFonts w:ascii="方正仿宋_GBK" w:eastAsia="方正仿宋_GBK"/>
          <w:kern w:val="0"/>
          <w:sz w:val="32"/>
          <w:szCs w:val="32"/>
          <w:shd w:val="clear" w:color="auto" w:fill="FFFFFF"/>
        </w:rPr>
      </w:pPr>
      <w:r>
        <w:rPr>
          <w:rFonts w:hint="eastAsia" w:ascii="方正楷体_GBK" w:hAnsi="仿宋_GB2312" w:eastAsia="方正楷体_GBK" w:cs="仿宋_GB2312"/>
          <w:sz w:val="32"/>
        </w:rPr>
        <w:t>（二）支出预算：</w:t>
      </w:r>
      <w:r>
        <w:rPr>
          <w:rFonts w:hint="eastAsia" w:ascii="方正仿宋_GBK" w:eastAsia="方正仿宋_GBK"/>
          <w:kern w:val="0"/>
          <w:sz w:val="32"/>
          <w:szCs w:val="32"/>
          <w:shd w:val="clear" w:color="auto" w:fill="FFFFFF"/>
        </w:rPr>
        <w:t>2022年年初预算数 920.82万元，其中：社会保障和就业支出预算 53.93万元，卫生健康支出预算 845.68万元，住房保障支出预算21.21 万元。支出预算较2021年增加 29.06万元，主要是基本支出预算增加。</w:t>
      </w:r>
    </w:p>
    <w:p>
      <w:pPr>
        <w:spacing w:line="600" w:lineRule="exact"/>
        <w:ind w:left="640"/>
        <w:rPr>
          <w:rFonts w:ascii="方正黑体_GBK" w:hAnsi="黑体" w:eastAsia="方正黑体_GBK" w:cs="仿宋_GB2312"/>
          <w:sz w:val="32"/>
          <w:szCs w:val="32"/>
        </w:rPr>
      </w:pPr>
      <w:r>
        <w:rPr>
          <w:rFonts w:hint="eastAsia" w:ascii="方正黑体_GBK" w:hAnsi="黑体" w:eastAsia="方正黑体_GBK" w:cs="仿宋_GB2312"/>
          <w:sz w:val="32"/>
          <w:szCs w:val="32"/>
        </w:rPr>
        <w:t>三、部门预算情况说明</w:t>
      </w:r>
    </w:p>
    <w:p>
      <w:pPr>
        <w:spacing w:line="600" w:lineRule="exact"/>
        <w:ind w:firstLine="640" w:firstLineChars="200"/>
        <w:rPr>
          <w:rFonts w:ascii="方正仿宋_GBK" w:eastAsia="方正仿宋_GBK"/>
          <w:kern w:val="0"/>
          <w:sz w:val="32"/>
          <w:szCs w:val="32"/>
          <w:shd w:val="clear" w:color="auto" w:fill="FFFFFF"/>
        </w:rPr>
      </w:pPr>
      <w:r>
        <w:rPr>
          <w:rFonts w:hint="eastAsia" w:ascii="方正仿宋_GBK" w:eastAsia="方正仿宋_GBK"/>
          <w:kern w:val="0"/>
          <w:sz w:val="32"/>
          <w:szCs w:val="32"/>
          <w:shd w:val="clear" w:color="auto" w:fill="FFFFFF"/>
        </w:rPr>
        <w:t>2022年一般公共预算财政拨款收入244.16万元，一般公共预算财政拨款支出244.16 万元，比2021年增加0.52万元。其中：基本支出0.52万元，比2021年增加0.52万元，主要原因是人员工资变动（岗位变动、晋升薪级、转正定级、工龄认定），主要用于保障在职人员工资福利及社会保险缴费；项目支出0万元，比2021年增加（或减少）0万元。</w:t>
      </w:r>
    </w:p>
    <w:p>
      <w:pPr>
        <w:spacing w:line="600" w:lineRule="exact"/>
        <w:ind w:firstLine="640" w:firstLineChars="200"/>
        <w:rPr>
          <w:rFonts w:ascii="方正仿宋_GBK" w:eastAsia="方正仿宋_GBK"/>
          <w:kern w:val="0"/>
          <w:sz w:val="32"/>
          <w:szCs w:val="32"/>
          <w:shd w:val="clear" w:color="auto" w:fill="FFFFFF"/>
        </w:rPr>
      </w:pPr>
      <w:r>
        <w:rPr>
          <w:rFonts w:hint="eastAsia" w:ascii="方正仿宋_GBK" w:eastAsia="方正仿宋_GBK"/>
          <w:kern w:val="0"/>
          <w:sz w:val="32"/>
          <w:szCs w:val="32"/>
          <w:shd w:val="clear" w:color="auto" w:fill="FFFFFF"/>
        </w:rPr>
        <w:t>重庆市开州区镇东街道社区卫生服务中心2022年无使用政府性基金预算拨款安排的支出。</w:t>
      </w:r>
    </w:p>
    <w:p>
      <w:pPr>
        <w:spacing w:line="600" w:lineRule="exact"/>
        <w:ind w:left="640"/>
        <w:rPr>
          <w:rFonts w:ascii="方正黑体_GBK" w:hAnsi="黑体" w:eastAsia="方正黑体_GBK" w:cs="仿宋_GB2312"/>
          <w:sz w:val="32"/>
          <w:szCs w:val="32"/>
        </w:rPr>
      </w:pPr>
      <w:r>
        <w:rPr>
          <w:rFonts w:hint="eastAsia" w:ascii="方正黑体_GBK" w:hAnsi="黑体" w:eastAsia="方正黑体_GBK" w:cs="仿宋_GB2312"/>
          <w:sz w:val="32"/>
          <w:szCs w:val="32"/>
        </w:rPr>
        <w:t>四、“三公”经费情况说明</w:t>
      </w:r>
    </w:p>
    <w:p>
      <w:pPr>
        <w:spacing w:line="600" w:lineRule="exact"/>
        <w:ind w:firstLine="640" w:firstLineChars="200"/>
        <w:rPr>
          <w:rFonts w:ascii="方正仿宋_GBK" w:eastAsia="方正仿宋_GBK"/>
          <w:kern w:val="0"/>
          <w:sz w:val="32"/>
          <w:szCs w:val="32"/>
          <w:shd w:val="clear" w:color="auto" w:fill="FFFFFF"/>
        </w:rPr>
      </w:pPr>
      <w:r>
        <w:rPr>
          <w:rFonts w:hint="eastAsia" w:ascii="方正仿宋_GBK" w:eastAsia="方正仿宋_GBK"/>
          <w:kern w:val="0"/>
          <w:sz w:val="32"/>
          <w:szCs w:val="32"/>
          <w:shd w:val="clear" w:color="auto" w:fill="FFFFFF"/>
        </w:rPr>
        <w:t>我单位属于差额拨款事业单位，财政未保障我单位“三公”经费。</w:t>
      </w:r>
    </w:p>
    <w:p>
      <w:pPr>
        <w:spacing w:line="600" w:lineRule="exact"/>
        <w:ind w:left="640"/>
        <w:rPr>
          <w:rFonts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spacing w:line="600" w:lineRule="exact"/>
        <w:ind w:firstLine="640" w:firstLineChars="200"/>
        <w:rPr>
          <w:rFonts w:ascii="方正仿宋_GBK" w:eastAsia="方正仿宋_GBK"/>
          <w:kern w:val="0"/>
          <w:sz w:val="32"/>
          <w:szCs w:val="32"/>
          <w:shd w:val="clear" w:color="auto" w:fill="FFFFFF"/>
        </w:rPr>
      </w:pPr>
      <w:r>
        <w:rPr>
          <w:rFonts w:hint="eastAsia" w:ascii="方正仿宋_GBK" w:eastAsia="方正仿宋_GBK"/>
          <w:kern w:val="0"/>
          <w:sz w:val="32"/>
          <w:szCs w:val="32"/>
          <w:shd w:val="clear" w:color="auto" w:fill="FFFFFF"/>
        </w:rPr>
        <w:t>1.我单位不在机关运行经费统计范围之内。</w:t>
      </w:r>
    </w:p>
    <w:p>
      <w:pPr>
        <w:spacing w:line="600" w:lineRule="exact"/>
        <w:ind w:firstLine="640" w:firstLineChars="200"/>
        <w:rPr>
          <w:rFonts w:ascii="方正仿宋_GBK" w:eastAsia="方正仿宋_GBK"/>
          <w:kern w:val="0"/>
          <w:sz w:val="32"/>
          <w:szCs w:val="32"/>
          <w:shd w:val="clear" w:color="auto" w:fill="FFFFFF"/>
        </w:rPr>
      </w:pPr>
      <w:r>
        <w:rPr>
          <w:rFonts w:hint="eastAsia" w:ascii="方正仿宋_GBK" w:eastAsia="方正仿宋_GBK"/>
          <w:kern w:val="0"/>
          <w:sz w:val="32"/>
          <w:szCs w:val="32"/>
          <w:shd w:val="clear" w:color="auto" w:fill="FFFFFF"/>
        </w:rPr>
        <w:t>2.政府采购情况。我单位无政府采购预算。</w:t>
      </w:r>
    </w:p>
    <w:p>
      <w:pPr>
        <w:spacing w:line="600" w:lineRule="exact"/>
        <w:ind w:firstLine="640" w:firstLineChars="200"/>
        <w:rPr>
          <w:rFonts w:ascii="方正仿宋_GBK" w:eastAsia="方正仿宋_GBK"/>
          <w:kern w:val="0"/>
          <w:sz w:val="32"/>
          <w:szCs w:val="32"/>
          <w:shd w:val="clear" w:color="auto" w:fill="FFFFFF"/>
        </w:rPr>
      </w:pPr>
      <w:r>
        <w:rPr>
          <w:rFonts w:hint="eastAsia" w:ascii="方正仿宋_GBK" w:eastAsia="方正仿宋_GBK"/>
          <w:kern w:val="0"/>
          <w:sz w:val="32"/>
          <w:szCs w:val="32"/>
          <w:shd w:val="clear" w:color="auto" w:fill="FFFFFF"/>
        </w:rPr>
        <w:t>3.绩效目标设置情况。2022年项目支出均实行了绩效目标管理，涉及一般公共预算当年财政拨款0万元。</w:t>
      </w:r>
    </w:p>
    <w:p>
      <w:pPr>
        <w:spacing w:line="600" w:lineRule="exact"/>
        <w:ind w:firstLine="640" w:firstLineChars="200"/>
        <w:rPr>
          <w:rFonts w:ascii="方正仿宋_GBK" w:eastAsia="方正仿宋_GBK"/>
          <w:kern w:val="0"/>
          <w:sz w:val="32"/>
          <w:szCs w:val="32"/>
          <w:shd w:val="clear" w:color="auto" w:fill="FFFFFF"/>
        </w:rPr>
      </w:pPr>
      <w:r>
        <w:rPr>
          <w:rFonts w:hint="eastAsia" w:ascii="方正仿宋_GBK" w:eastAsia="方正仿宋_GBK"/>
          <w:kern w:val="0"/>
          <w:sz w:val="32"/>
          <w:szCs w:val="32"/>
          <w:shd w:val="clear" w:color="auto" w:fill="FFFFFF"/>
        </w:rPr>
        <w:t>4.国有资产占有使用情况。</w:t>
      </w:r>
      <w:r>
        <w:rPr>
          <w:rFonts w:hint="eastAsia" w:ascii="方正仿宋_GBK" w:eastAsia="方正仿宋_GBK"/>
          <w:kern w:val="0"/>
          <w:sz w:val="32"/>
          <w:szCs w:val="32"/>
          <w:shd w:val="clear" w:color="auto" w:fill="FFFFFF"/>
          <w:lang w:val="en-US" w:eastAsia="zh-CN"/>
        </w:rPr>
        <w:t>截至</w:t>
      </w:r>
      <w:bookmarkStart w:id="0" w:name="_GoBack"/>
      <w:bookmarkEnd w:id="0"/>
      <w:r>
        <w:rPr>
          <w:rFonts w:hint="eastAsia" w:ascii="方正仿宋_GBK" w:eastAsia="方正仿宋_GBK"/>
          <w:kern w:val="0"/>
          <w:sz w:val="32"/>
          <w:szCs w:val="32"/>
          <w:shd w:val="clear" w:color="auto" w:fill="FFFFFF"/>
        </w:rPr>
        <w:t>2021年12月，本中心共有救护车辆1辆，主要是用于急救病人的转运。</w:t>
      </w:r>
    </w:p>
    <w:p>
      <w:pPr>
        <w:spacing w:line="600" w:lineRule="exact"/>
        <w:ind w:firstLine="640" w:firstLineChars="200"/>
        <w:rPr>
          <w:rFonts w:ascii="方正黑体_GBK" w:hAnsi="黑体" w:eastAsia="方正黑体_GBK" w:cs="仿宋_GB2312"/>
          <w:sz w:val="32"/>
        </w:rPr>
      </w:pPr>
      <w:r>
        <w:rPr>
          <w:rFonts w:hint="eastAsia" w:ascii="方正黑体_GBK" w:hAnsi="黑体" w:eastAsia="方正黑体_GBK" w:cs="仿宋_GB2312"/>
          <w:sz w:val="32"/>
        </w:rPr>
        <w:t>六、专业性名词解释</w:t>
      </w:r>
    </w:p>
    <w:p>
      <w:pPr>
        <w:tabs>
          <w:tab w:val="center" w:pos="4153"/>
          <w:tab w:val="left" w:pos="7275"/>
        </w:tabs>
        <w:spacing w:line="600" w:lineRule="exact"/>
        <w:ind w:firstLine="640" w:firstLineChars="200"/>
        <w:jc w:val="left"/>
        <w:rPr>
          <w:rFonts w:ascii="方正仿宋_GBK" w:eastAsia="方正仿宋_GBK"/>
          <w:kern w:val="0"/>
          <w:sz w:val="32"/>
          <w:szCs w:val="32"/>
          <w:shd w:val="clear" w:color="auto" w:fill="FFFFFF"/>
        </w:rPr>
      </w:pPr>
      <w:r>
        <w:rPr>
          <w:rFonts w:hint="eastAsia" w:ascii="方正楷体_GBK" w:hAnsi="仿宋_GB2312" w:eastAsia="方正楷体_GBK" w:cs="仿宋_GB2312"/>
          <w:sz w:val="32"/>
        </w:rPr>
        <w:t>（一）财政拨款收入：</w:t>
      </w:r>
      <w:r>
        <w:rPr>
          <w:rFonts w:hint="eastAsia" w:ascii="方正仿宋_GBK" w:eastAsia="方正仿宋_GBK"/>
          <w:kern w:val="0"/>
          <w:sz w:val="32"/>
          <w:szCs w:val="32"/>
          <w:shd w:val="clear" w:color="auto" w:fill="FFFFFF"/>
        </w:rPr>
        <w:t>指本年度从本级财政部门取得的财政拨款，包括一般公共预算财政拨款和政府性基金预算财政拨款。</w:t>
      </w:r>
    </w:p>
    <w:p>
      <w:pPr>
        <w:tabs>
          <w:tab w:val="center" w:pos="4153"/>
          <w:tab w:val="left" w:pos="7275"/>
        </w:tabs>
        <w:spacing w:line="600" w:lineRule="exact"/>
        <w:ind w:firstLine="640" w:firstLineChars="200"/>
        <w:jc w:val="left"/>
        <w:rPr>
          <w:rFonts w:ascii="方正仿宋_GBK" w:eastAsia="方正仿宋_GBK"/>
          <w:kern w:val="0"/>
          <w:sz w:val="32"/>
          <w:szCs w:val="32"/>
          <w:shd w:val="clear" w:color="auto" w:fill="FFFFFF"/>
        </w:rPr>
      </w:pPr>
      <w:r>
        <w:rPr>
          <w:rFonts w:hint="eastAsia" w:ascii="方正楷体_GBK" w:hAnsi="仿宋_GB2312" w:eastAsia="方正楷体_GBK" w:cs="仿宋_GB2312"/>
          <w:sz w:val="32"/>
        </w:rPr>
        <w:t>（二）其他收入：</w:t>
      </w:r>
      <w:r>
        <w:rPr>
          <w:rFonts w:hint="eastAsia" w:ascii="方正仿宋_GBK" w:eastAsia="方正仿宋_GBK"/>
          <w:kern w:val="0"/>
          <w:sz w:val="32"/>
          <w:szCs w:val="32"/>
          <w:shd w:val="clear" w:color="auto" w:fill="FFFFFF"/>
        </w:rPr>
        <w:t>指单位取得的除“财政拨款收入”“事业收入”“经营收入”等以外的收入。</w:t>
      </w:r>
    </w:p>
    <w:p>
      <w:pPr>
        <w:tabs>
          <w:tab w:val="center" w:pos="4153"/>
          <w:tab w:val="left" w:pos="7275"/>
        </w:tabs>
        <w:spacing w:line="600" w:lineRule="exact"/>
        <w:ind w:firstLine="640" w:firstLineChars="200"/>
        <w:jc w:val="left"/>
        <w:rPr>
          <w:rFonts w:ascii="方正仿宋_GBK" w:eastAsia="方正仿宋_GBK"/>
          <w:kern w:val="0"/>
          <w:sz w:val="32"/>
          <w:szCs w:val="32"/>
          <w:shd w:val="clear" w:color="auto" w:fill="FFFFFF"/>
        </w:rPr>
      </w:pPr>
      <w:r>
        <w:rPr>
          <w:rFonts w:hint="eastAsia" w:ascii="方正楷体_GBK" w:hAnsi="仿宋_GB2312" w:eastAsia="方正楷体_GBK" w:cs="仿宋_GB2312"/>
          <w:sz w:val="32"/>
        </w:rPr>
        <w:t>（三）基本支出</w:t>
      </w:r>
      <w:r>
        <w:rPr>
          <w:rFonts w:hint="eastAsia" w:ascii="方正仿宋_GBK" w:hAnsi="Calibri" w:eastAsia="方正仿宋_GBK"/>
          <w:sz w:val="32"/>
          <w:szCs w:val="32"/>
        </w:rPr>
        <w:t>：</w:t>
      </w:r>
      <w:r>
        <w:rPr>
          <w:rFonts w:hint="eastAsia" w:ascii="方正仿宋_GBK" w:eastAsia="方正仿宋_GBK"/>
          <w:kern w:val="0"/>
          <w:sz w:val="32"/>
          <w:szCs w:val="32"/>
          <w:shd w:val="clear" w:color="auto" w:fill="FFFFFF"/>
        </w:rPr>
        <w:t>指为保障机构正常运转、完成日常工作任务而发生的人员经费和公用经费。</w:t>
      </w:r>
    </w:p>
    <w:p>
      <w:pPr>
        <w:tabs>
          <w:tab w:val="center" w:pos="4153"/>
          <w:tab w:val="left" w:pos="7275"/>
        </w:tabs>
        <w:spacing w:line="600" w:lineRule="exact"/>
        <w:ind w:firstLine="640" w:firstLineChars="200"/>
        <w:jc w:val="left"/>
        <w:rPr>
          <w:rFonts w:ascii="方正仿宋_GBK" w:eastAsia="方正仿宋_GBK"/>
          <w:kern w:val="0"/>
          <w:sz w:val="32"/>
          <w:szCs w:val="32"/>
          <w:shd w:val="clear" w:color="auto" w:fill="FFFFFF"/>
        </w:rPr>
      </w:pPr>
      <w:r>
        <w:rPr>
          <w:rFonts w:hint="eastAsia" w:ascii="方正楷体_GBK" w:hAnsi="仿宋_GB2312" w:eastAsia="方正楷体_GBK" w:cs="仿宋_GB2312"/>
          <w:sz w:val="32"/>
        </w:rPr>
        <w:t>（四）项目支出：</w:t>
      </w:r>
      <w:r>
        <w:rPr>
          <w:rFonts w:hint="eastAsia" w:ascii="方正仿宋_GBK" w:eastAsia="方正仿宋_GBK"/>
          <w:kern w:val="0"/>
          <w:sz w:val="32"/>
          <w:szCs w:val="32"/>
          <w:shd w:val="clear" w:color="auto" w:fill="FFFFFF"/>
        </w:rPr>
        <w:t>指在基本支出之外为完成特定行政任务和事业发展目标所发生的支出。</w:t>
      </w:r>
    </w:p>
    <w:p>
      <w:pPr>
        <w:spacing w:line="600" w:lineRule="exact"/>
        <w:ind w:firstLine="640" w:firstLineChars="200"/>
        <w:rPr>
          <w:rFonts w:ascii="方正仿宋_GBK" w:eastAsia="方正仿宋_GBK"/>
          <w:kern w:val="0"/>
          <w:sz w:val="32"/>
          <w:szCs w:val="32"/>
          <w:shd w:val="clear" w:color="auto" w:fill="FFFFFF"/>
        </w:rPr>
      </w:pPr>
      <w:r>
        <w:rPr>
          <w:rFonts w:hint="eastAsia" w:ascii="方正楷体_GBK" w:hAnsi="仿宋_GB2312" w:eastAsia="方正楷体_GBK" w:cs="仿宋_GB2312"/>
          <w:sz w:val="32"/>
        </w:rPr>
        <w:t>（五）“三公”经费：</w:t>
      </w:r>
      <w:r>
        <w:rPr>
          <w:rFonts w:hint="eastAsia" w:ascii="方正仿宋_GBK" w:eastAsia="方正仿宋_GBK"/>
          <w:kern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方正仿宋_GBK" w:eastAsia="方正仿宋_GBK"/>
          <w:b/>
          <w:bCs/>
          <w:kern w:val="0"/>
          <w:sz w:val="32"/>
          <w:szCs w:val="32"/>
          <w:shd w:val="clear" w:color="auto" w:fill="FFFFFF"/>
        </w:rPr>
      </w:pPr>
      <w:r>
        <w:rPr>
          <w:rFonts w:hint="eastAsia" w:ascii="方正仿宋_GBK" w:eastAsia="方正仿宋_GBK"/>
          <w:b/>
          <w:bCs/>
          <w:kern w:val="0"/>
          <w:sz w:val="32"/>
          <w:szCs w:val="32"/>
          <w:shd w:val="clear" w:color="auto" w:fill="FFFFFF"/>
        </w:rPr>
        <w:t>部门预算公开联系人：陈明珍    联系电话：023-81750919</w:t>
      </w:r>
    </w:p>
    <w:p>
      <w:pPr>
        <w:spacing w:line="600" w:lineRule="exact"/>
        <w:ind w:firstLine="420" w:firstLineChars="200"/>
      </w:pPr>
    </w:p>
    <w:p>
      <w:pPr>
        <w:spacing w:line="600" w:lineRule="exact"/>
      </w:pPr>
    </w:p>
    <w:sectPr>
      <w:headerReference r:id="rId3" w:type="default"/>
      <w:pgSz w:w="11906" w:h="16838"/>
      <w:pgMar w:top="1814" w:right="1531" w:bottom="181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6EC5"/>
    <w:rsid w:val="00033BF4"/>
    <w:rsid w:val="00037BA7"/>
    <w:rsid w:val="00097820"/>
    <w:rsid w:val="000B130C"/>
    <w:rsid w:val="000C60A8"/>
    <w:rsid w:val="000C63B6"/>
    <w:rsid w:val="00175760"/>
    <w:rsid w:val="001A04E5"/>
    <w:rsid w:val="001A52FE"/>
    <w:rsid w:val="001D135C"/>
    <w:rsid w:val="001F0E84"/>
    <w:rsid w:val="00232A01"/>
    <w:rsid w:val="002514BE"/>
    <w:rsid w:val="002A3291"/>
    <w:rsid w:val="002D48BC"/>
    <w:rsid w:val="00312E41"/>
    <w:rsid w:val="00336BFA"/>
    <w:rsid w:val="003700AF"/>
    <w:rsid w:val="0037278F"/>
    <w:rsid w:val="003C4945"/>
    <w:rsid w:val="003E7A2B"/>
    <w:rsid w:val="004D66BD"/>
    <w:rsid w:val="005048C7"/>
    <w:rsid w:val="00531DDC"/>
    <w:rsid w:val="00545C5C"/>
    <w:rsid w:val="00640447"/>
    <w:rsid w:val="006713FF"/>
    <w:rsid w:val="0070339C"/>
    <w:rsid w:val="00762EAC"/>
    <w:rsid w:val="007744FE"/>
    <w:rsid w:val="007A4A5F"/>
    <w:rsid w:val="007A607B"/>
    <w:rsid w:val="007D4076"/>
    <w:rsid w:val="00806B03"/>
    <w:rsid w:val="008443F5"/>
    <w:rsid w:val="008B1434"/>
    <w:rsid w:val="008B5425"/>
    <w:rsid w:val="008D7748"/>
    <w:rsid w:val="00904686"/>
    <w:rsid w:val="009506B3"/>
    <w:rsid w:val="00A52B67"/>
    <w:rsid w:val="00A60C88"/>
    <w:rsid w:val="00A776EA"/>
    <w:rsid w:val="00A933F1"/>
    <w:rsid w:val="00AB2935"/>
    <w:rsid w:val="00AB2DF5"/>
    <w:rsid w:val="00AC4FB2"/>
    <w:rsid w:val="00AE2B46"/>
    <w:rsid w:val="00AF7246"/>
    <w:rsid w:val="00B35133"/>
    <w:rsid w:val="00B55A0B"/>
    <w:rsid w:val="00B637C1"/>
    <w:rsid w:val="00BB33C4"/>
    <w:rsid w:val="00C03CCF"/>
    <w:rsid w:val="00CA0EF9"/>
    <w:rsid w:val="00CC5A0D"/>
    <w:rsid w:val="00D1627C"/>
    <w:rsid w:val="00D42B57"/>
    <w:rsid w:val="00D4716A"/>
    <w:rsid w:val="00D67742"/>
    <w:rsid w:val="00D71B35"/>
    <w:rsid w:val="00D81F07"/>
    <w:rsid w:val="00DA7451"/>
    <w:rsid w:val="00DB3097"/>
    <w:rsid w:val="00DD0A83"/>
    <w:rsid w:val="00DF0DF8"/>
    <w:rsid w:val="00DF5BB4"/>
    <w:rsid w:val="00E45381"/>
    <w:rsid w:val="00E643ED"/>
    <w:rsid w:val="00E7409B"/>
    <w:rsid w:val="00E74EFE"/>
    <w:rsid w:val="00EA2147"/>
    <w:rsid w:val="00F34F00"/>
    <w:rsid w:val="00F46EC5"/>
    <w:rsid w:val="00F57B6A"/>
    <w:rsid w:val="41107BF4"/>
    <w:rsid w:val="67223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rFonts w:ascii="Times New Roman" w:hAnsi="Times New Roman" w:eastAsia="宋体" w:cs="Times New Roman"/>
      <w:sz w:val="18"/>
      <w:szCs w:val="18"/>
    </w:rPr>
  </w:style>
  <w:style w:type="paragraph" w:customStyle="1" w:styleId="8">
    <w:name w:val="List Paragraph"/>
    <w:basedOn w:val="1"/>
    <w:qFormat/>
    <w:uiPriority w:val="34"/>
    <w:pPr>
      <w:ind w:firstLine="420" w:firstLineChars="200"/>
    </w:pPr>
  </w:style>
  <w:style w:type="character" w:customStyle="1" w:styleId="9">
    <w:name w:val="页脚 Char"/>
    <w:basedOn w:val="5"/>
    <w:link w:val="3"/>
    <w:semiHidden/>
    <w:qFormat/>
    <w:uiPriority w:val="99"/>
    <w:rPr>
      <w:rFonts w:ascii="Times New Roman" w:hAnsi="Times New Roman" w:eastAsia="宋体" w:cs="Times New Roman"/>
      <w:sz w:val="18"/>
      <w:szCs w:val="18"/>
    </w:rPr>
  </w:style>
  <w:style w:type="character" w:customStyle="1" w:styleId="10">
    <w:name w:val="批注框文本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260</Words>
  <Characters>1488</Characters>
  <Lines>12</Lines>
  <Paragraphs>3</Paragraphs>
  <TotalTime>0</TotalTime>
  <ScaleCrop>false</ScaleCrop>
  <LinksUpToDate>false</LinksUpToDate>
  <CharactersWithSpaces>1745</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2022-02-10T02:54:00Z</dcterms:created>
  <dc:creator>Administrator</dc:creator>
  <cp:lastModifiedBy>DELL</cp:lastModifiedBy>
  <cp:lastPrinted>2022-02-11T02:41:00Z</cp:lastPrinted>
  <dcterms:modified xsi:type="dcterms:W3CDTF">2022-02-16T11:37:05Z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