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重庆市开州区精神卫生中心</w:t>
      </w:r>
    </w:p>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ascii="华文中宋" w:hAnsi="华文中宋" w:eastAsia="华文中宋" w:cs="华文中宋"/>
          <w:sz w:val="44"/>
          <w:szCs w:val="44"/>
        </w:rPr>
      </w:pP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（一）职能职责</w:t>
      </w:r>
    </w:p>
    <w:p>
      <w:pPr>
        <w:autoSpaceDE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1.负责重性精神病患者管理的督导、技术指导；服务数量及质量的管理。</w:t>
      </w:r>
    </w:p>
    <w:p>
      <w:pPr>
        <w:autoSpaceDE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2.</w:t>
      </w:r>
      <w:r>
        <w:rPr>
          <w:rFonts w:hint="eastAsia" w:ascii="方正仿宋_GBK" w:eastAsia="方正仿宋_GBK"/>
          <w:sz w:val="32"/>
          <w:szCs w:val="32"/>
          <w:lang w:val="en-US" w:eastAsia="zh-CN"/>
        </w:rPr>
        <w:t>制定</w:t>
      </w:r>
      <w:r>
        <w:rPr>
          <w:rFonts w:hint="eastAsia" w:ascii="方正仿宋_GBK" w:eastAsia="方正仿宋_GBK"/>
          <w:sz w:val="32"/>
          <w:szCs w:val="32"/>
        </w:rPr>
        <w:t>项目工作制度、年度工作计划、督导评估考核等规范性文件。承担项目的技术指导、人员培训、绩效考核、督导评估等工作。</w:t>
      </w:r>
    </w:p>
    <w:p>
      <w:pPr>
        <w:autoSpaceDE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3.积极协调，充分发挥专家作用，提高对基层卫生机构的业务指导水平，每年组织开展4次</w:t>
      </w:r>
      <w:r>
        <w:rPr>
          <w:rFonts w:hint="eastAsia" w:ascii="方正仿宋_GBK" w:eastAsia="方正仿宋_GBK"/>
          <w:sz w:val="32"/>
          <w:szCs w:val="32"/>
          <w:lang w:val="en-US" w:eastAsia="zh-CN"/>
        </w:rPr>
        <w:t>技术</w:t>
      </w:r>
      <w:r>
        <w:rPr>
          <w:rFonts w:hint="eastAsia" w:ascii="方正仿宋_GBK" w:eastAsia="方正仿宋_GBK"/>
          <w:sz w:val="32"/>
          <w:szCs w:val="32"/>
        </w:rPr>
        <w:t>指导与工作督导，为项目实施单位提供技术支撑。</w:t>
      </w:r>
    </w:p>
    <w:p>
      <w:pPr>
        <w:autoSpaceDE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4.成立重性精神病单项专家组，定期不定期召开专题会议，研究工</w:t>
      </w:r>
      <w:bookmarkStart w:id="0" w:name="_GoBack"/>
      <w:bookmarkEnd w:id="0"/>
      <w:r>
        <w:rPr>
          <w:rFonts w:hint="eastAsia" w:ascii="方正仿宋_GBK" w:eastAsia="方正仿宋_GBK"/>
          <w:sz w:val="32"/>
          <w:szCs w:val="32"/>
        </w:rPr>
        <w:t>作中存在的问题，形成工作汇报，供决策参考。</w:t>
      </w:r>
    </w:p>
    <w:p>
      <w:pPr>
        <w:autoSpaceDE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5.负责项目报表数据统计、信息收集、汇总分析、数据报送等工作。</w:t>
      </w:r>
    </w:p>
    <w:p>
      <w:pPr>
        <w:autoSpaceDE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6.每年组织我区实施公卫重性精神病患者管理的工作评估，形成有价值的评估报告，供决策参考。</w:t>
      </w:r>
    </w:p>
    <w:p>
      <w:pPr>
        <w:spacing w:line="600" w:lineRule="exact"/>
        <w:ind w:firstLine="640" w:firstLineChars="200"/>
        <w:rPr>
          <w:rFonts w:ascii="方正仿宋_GBK" w:hAnsi="仿宋_GB2312" w:eastAsia="方正仿宋_GBK" w:cs="仿宋_GB2312"/>
          <w:sz w:val="32"/>
        </w:rPr>
      </w:pPr>
      <w:r>
        <w:rPr>
          <w:rFonts w:hint="eastAsia" w:ascii="方正仿宋_GBK" w:eastAsia="方正仿宋_GBK"/>
          <w:sz w:val="32"/>
          <w:szCs w:val="32"/>
        </w:rPr>
        <w:t>7.完成区卫生计生行政部门交办的其他任务。</w:t>
      </w:r>
    </w:p>
    <w:p>
      <w:pPr>
        <w:tabs>
          <w:tab w:val="center" w:pos="4153"/>
          <w:tab w:val="left" w:pos="7275"/>
        </w:tabs>
        <w:spacing w:line="600" w:lineRule="exact"/>
        <w:ind w:left="640"/>
        <w:jc w:val="left"/>
        <w:rPr>
          <w:rFonts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autoSpaceDE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开州区精神卫生中心为差额拨款事业单位，设19个科室。分别是办公室、党办、医务科、护理部、感控科、精防科、社会心理办、财务科、医保科、总务科、建设科、信息设备科、门诊部、精神一科、精神二科、综合科、医技科、药剂科、工娱康复科。</w:t>
      </w:r>
    </w:p>
    <w:p>
      <w:pPr>
        <w:autoSpaceDE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从预算单位构成看，本单位是二级预算单位，主管部门为重庆市开州区卫生健康委员会。</w:t>
      </w:r>
    </w:p>
    <w:p>
      <w:pPr>
        <w:spacing w:line="600" w:lineRule="exact"/>
        <w:ind w:firstLine="640" w:firstLineChars="200"/>
        <w:rPr>
          <w:rFonts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（一）收入预算：2022年年初预算数</w:t>
      </w:r>
      <w:r>
        <w:rPr>
          <w:rFonts w:ascii="方正仿宋_GBK" w:hAnsi="仿宋_GB2312" w:eastAsia="方正仿宋_GBK" w:cs="仿宋_GB2312"/>
          <w:sz w:val="32"/>
        </w:rPr>
        <w:t>5784.16</w:t>
      </w:r>
      <w:r>
        <w:rPr>
          <w:rFonts w:hint="eastAsia" w:ascii="方正仿宋_GBK" w:hAnsi="仿宋_GB2312" w:eastAsia="方正仿宋_GBK" w:cs="仿宋_GB2312"/>
          <w:sz w:val="32"/>
        </w:rPr>
        <w:t>万元，其中：一般公共预算拨款</w:t>
      </w:r>
      <w:r>
        <w:rPr>
          <w:rFonts w:ascii="方正仿宋_GBK" w:hAnsi="仿宋_GB2312" w:eastAsia="方正仿宋_GBK" w:cs="仿宋_GB2312"/>
          <w:sz w:val="32"/>
        </w:rPr>
        <w:t>1686.99</w:t>
      </w:r>
      <w:r>
        <w:rPr>
          <w:rFonts w:hint="eastAsia" w:ascii="方正仿宋_GBK" w:hAnsi="仿宋_GB2312" w:eastAsia="方正仿宋_GBK" w:cs="仿宋_GB2312"/>
          <w:sz w:val="32"/>
        </w:rPr>
        <w:t>万元，事业收入</w:t>
      </w:r>
      <w:r>
        <w:rPr>
          <w:rFonts w:ascii="方正仿宋_GBK" w:hAnsi="仿宋_GB2312" w:eastAsia="方正仿宋_GBK" w:cs="仿宋_GB2312"/>
          <w:sz w:val="32"/>
        </w:rPr>
        <w:t>3850</w:t>
      </w:r>
      <w:r>
        <w:rPr>
          <w:rFonts w:hint="eastAsia" w:ascii="方正仿宋_GBK" w:hAnsi="仿宋_GB2312" w:eastAsia="方正仿宋_GBK" w:cs="仿宋_GB2312"/>
          <w:sz w:val="32"/>
        </w:rPr>
        <w:t>万元，其他收入</w:t>
      </w:r>
      <w:r>
        <w:rPr>
          <w:rFonts w:ascii="方正仿宋_GBK" w:hAnsi="仿宋_GB2312" w:eastAsia="方正仿宋_GBK" w:cs="仿宋_GB2312"/>
          <w:sz w:val="32"/>
        </w:rPr>
        <w:t>247.18</w:t>
      </w:r>
      <w:r>
        <w:rPr>
          <w:rFonts w:hint="eastAsia" w:ascii="方正仿宋_GBK" w:hAnsi="仿宋_GB2312" w:eastAsia="方正仿宋_GBK" w:cs="仿宋_GB2312"/>
          <w:sz w:val="32"/>
        </w:rPr>
        <w:t>万元。收入较2021年增加139.12万元，主要是一般公共预算经费拨款增加145.64万元，其他收入减少7.51万元。</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（二）支出预算：2022年年初预算数</w:t>
      </w:r>
      <w:r>
        <w:rPr>
          <w:rFonts w:ascii="方正仿宋_GBK" w:hAnsi="仿宋_GB2312" w:eastAsia="方正仿宋_GBK" w:cs="仿宋_GB2312"/>
          <w:sz w:val="32"/>
        </w:rPr>
        <w:t>5784.16</w:t>
      </w:r>
      <w:r>
        <w:rPr>
          <w:rFonts w:hint="eastAsia" w:ascii="方正仿宋_GBK" w:hAnsi="仿宋_GB2312" w:eastAsia="方正仿宋_GBK" w:cs="仿宋_GB2312"/>
          <w:sz w:val="32"/>
        </w:rPr>
        <w:t>万元，其中：社会保障和就业支出预算</w:t>
      </w:r>
      <w:r>
        <w:rPr>
          <w:rFonts w:ascii="方正仿宋_GBK" w:hAnsi="仿宋_GB2312" w:eastAsia="方正仿宋_GBK" w:cs="仿宋_GB2312"/>
          <w:sz w:val="32"/>
        </w:rPr>
        <w:t>318.07</w:t>
      </w:r>
      <w:r>
        <w:rPr>
          <w:rFonts w:hint="eastAsia" w:ascii="方正仿宋_GBK" w:hAnsi="仿宋_GB2312" w:eastAsia="方正仿宋_GBK" w:cs="仿宋_GB2312"/>
          <w:sz w:val="32"/>
        </w:rPr>
        <w:t xml:space="preserve">万元，卫生健康支出预算 </w:t>
      </w:r>
      <w:r>
        <w:rPr>
          <w:rFonts w:ascii="方正仿宋_GBK" w:hAnsi="仿宋_GB2312" w:eastAsia="方正仿宋_GBK" w:cs="仿宋_GB2312"/>
          <w:sz w:val="32"/>
        </w:rPr>
        <w:t>5362.08</w:t>
      </w:r>
      <w:r>
        <w:rPr>
          <w:rFonts w:hint="eastAsia" w:ascii="方正仿宋_GBK" w:hAnsi="仿宋_GB2312" w:eastAsia="方正仿宋_GBK" w:cs="仿宋_GB2312"/>
          <w:sz w:val="32"/>
        </w:rPr>
        <w:t>万元，住房保障支出预算</w:t>
      </w:r>
      <w:r>
        <w:rPr>
          <w:rFonts w:ascii="方正仿宋_GBK" w:hAnsi="仿宋_GB2312" w:eastAsia="方正仿宋_GBK" w:cs="仿宋_GB2312"/>
          <w:sz w:val="32"/>
        </w:rPr>
        <w:t>104.02</w:t>
      </w:r>
      <w:r>
        <w:rPr>
          <w:rFonts w:hint="eastAsia" w:ascii="方正仿宋_GBK" w:hAnsi="仿宋_GB2312" w:eastAsia="方正仿宋_GBK" w:cs="仿宋_GB2312"/>
          <w:sz w:val="32"/>
        </w:rPr>
        <w:t>万元。支出预算较2021年增加139.12万元，主要是基本支出预算增加15.69万元，项目支出预算增加123.43万元。</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w:t>
      </w:r>
      <w:r>
        <w:rPr>
          <w:rFonts w:ascii="方正仿宋_GBK" w:hAnsi="仿宋_GB2312" w:eastAsia="方正仿宋_GBK" w:cs="仿宋_GB2312"/>
          <w:sz w:val="32"/>
        </w:rPr>
        <w:t>1686.99</w:t>
      </w:r>
      <w:r>
        <w:rPr>
          <w:rFonts w:hint="eastAsia" w:ascii="方正仿宋_GBK" w:hAnsi="仿宋_GB2312" w:eastAsia="方正仿宋_GBK" w:cs="仿宋_GB2312"/>
          <w:sz w:val="32"/>
        </w:rPr>
        <w:t>万元，一般公共预算财政拨款支出</w:t>
      </w:r>
      <w:r>
        <w:rPr>
          <w:rFonts w:ascii="方正仿宋_GBK" w:hAnsi="仿宋_GB2312" w:eastAsia="方正仿宋_GBK" w:cs="仿宋_GB2312"/>
          <w:sz w:val="32"/>
        </w:rPr>
        <w:t>1686.99</w:t>
      </w:r>
      <w:r>
        <w:rPr>
          <w:rFonts w:hint="eastAsia" w:ascii="方正仿宋_GBK" w:hAnsi="仿宋_GB2312" w:eastAsia="方正仿宋_GBK" w:cs="仿宋_GB2312"/>
          <w:sz w:val="32"/>
        </w:rPr>
        <w:t>万元，比2021年增加145.64万元。其中：基本支出</w:t>
      </w:r>
      <w:r>
        <w:rPr>
          <w:rFonts w:ascii="方正仿宋_GBK" w:hAnsi="仿宋_GB2312" w:eastAsia="方正仿宋_GBK" w:cs="仿宋_GB2312"/>
          <w:sz w:val="32"/>
        </w:rPr>
        <w:t>1563.56</w:t>
      </w:r>
      <w:r>
        <w:rPr>
          <w:rFonts w:hint="eastAsia" w:ascii="方正仿宋_GBK" w:hAnsi="仿宋_GB2312" w:eastAsia="方正仿宋_GBK" w:cs="仿宋_GB2312"/>
          <w:sz w:val="32"/>
        </w:rPr>
        <w:t>万元，比2021年增加22.22万元，主要用于保障在职人员工资福利及社会保险缴费，保障部门正常运转的各项商品服务支出等；项目支出   123.43万元，比2021年增加123.43万元，主要原因是21年的项目资金由财政追加，22年的项目资金则直接预算，主要用于严重精神障碍患者管理治疗、心理健康服务、免费服用第二代抗精神病药物项目等重点工作。</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开州区精神卫生中心2022年无使用政府性基金预算拨款安排的支出。</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00"/>
        <w:rPr>
          <w:rFonts w:ascii="方正仿宋_GBK" w:hAnsi="仿宋_GB2312" w:eastAsia="方正仿宋_GBK" w:cs="仿宋_GB2312"/>
          <w:sz w:val="32"/>
        </w:rPr>
      </w:pPr>
      <w:r>
        <w:rPr>
          <w:rFonts w:hint="eastAsia" w:ascii="方正仿宋_GBK" w:hAnsi="仿宋_GB2312" w:eastAsia="方正仿宋_GBK" w:cs="仿宋_GB2312"/>
          <w:sz w:val="32"/>
        </w:rPr>
        <w:t>2022年“三公”经费预算8.03万元，比2021年增加0.04  万元。其中：公务接待费1.03万元，比2021年增加0.04万元，主要原因是根据2021年实际接待情况作适当调整；公务用车运行维护费7万元，与2021年持平。</w:t>
      </w:r>
      <w:r>
        <w:rPr>
          <w:rFonts w:ascii="方正仿宋_GBK" w:hAnsi="仿宋_GB2312" w:eastAsia="方正仿宋_GBK" w:cs="仿宋_GB2312"/>
          <w:sz w:val="32"/>
        </w:rPr>
        <w:t xml:space="preserve"> </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2、政府采购情况。所属预算单位政府采购预算总额302.8万元：政府采购货物预算196.4万元、政府采购服务预算106.4万元。由事业收入公用经费支出。</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sz w:val="32"/>
        </w:rPr>
        <w:t xml:space="preserve"> 3、绩效目标设置情况。</w:t>
      </w:r>
      <w:r>
        <w:rPr>
          <w:rFonts w:hint="eastAsia" w:ascii="方正仿宋_GBK" w:hAnsi="仿宋_GB2312" w:eastAsia="方正仿宋_GBK" w:cs="仿宋_GB2312"/>
          <w:color w:val="000000"/>
          <w:sz w:val="32"/>
        </w:rPr>
        <w:t>2022年项目支出均实行了绩效目标管理，涉及一般公共预算当年财政拨款</w:t>
      </w:r>
      <w:r>
        <w:rPr>
          <w:rFonts w:ascii="方正仿宋_GBK" w:hAnsi="仿宋_GB2312" w:eastAsia="方正仿宋_GBK" w:cs="仿宋_GB2312"/>
          <w:color w:val="000000"/>
          <w:sz w:val="32"/>
        </w:rPr>
        <w:t>123.43</w:t>
      </w:r>
      <w:r>
        <w:rPr>
          <w:rFonts w:hint="eastAsia" w:ascii="方正仿宋_GBK" w:hAnsi="仿宋_GB2312" w:eastAsia="方正仿宋_GBK" w:cs="仿宋_GB2312"/>
          <w:color w:val="000000"/>
          <w:sz w:val="32"/>
        </w:rPr>
        <w:t>万元。</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r>
        <w:rPr>
          <w:rFonts w:hint="eastAsia" w:ascii="方正仿宋_GBK" w:hAnsi="仿宋_GB2312" w:eastAsia="方正仿宋_GBK" w:cs="仿宋_GB2312"/>
          <w:color w:val="000000"/>
          <w:sz w:val="32"/>
        </w:rPr>
        <w:t xml:space="preserve">2021年12月，所属各预算单位共有车辆2辆，其中一般公务用车2辆。 </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ascii="仿宋_GB2312" w:hAnsi="仿宋_GB2312" w:eastAsia="仿宋_GB2312" w:cs="仿宋_GB2312"/>
          <w:b/>
          <w:sz w:val="32"/>
        </w:rPr>
      </w:pPr>
      <w:r>
        <w:rPr>
          <w:rFonts w:hint="eastAsia" w:ascii="方正仿宋_GBK" w:hAnsi="仿宋_GB2312" w:eastAsia="方正仿宋_GBK" w:cs="仿宋_GB2312"/>
          <w:b/>
          <w:sz w:val="32"/>
        </w:rPr>
        <w:t>部门预算公开联系人： 赵淑涛 023-52661088</w:t>
      </w:r>
    </w:p>
    <w:p>
      <w:pPr>
        <w:spacing w:line="620" w:lineRule="exact"/>
        <w:ind w:firstLine="2880" w:firstLineChars="900"/>
        <w:rPr>
          <w:rFonts w:ascii="方正仿宋_GBK" w:hAnsi="Calibri" w:eastAsia="方正仿宋_GBK"/>
          <w:sz w:val="32"/>
          <w:szCs w:val="32"/>
        </w:rPr>
      </w:pPr>
    </w:p>
    <w:p>
      <w:pPr>
        <w:spacing w:line="630" w:lineRule="exact"/>
        <w:ind w:firstLine="420" w:firstLineChars="200"/>
      </w:pP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C1771"/>
    <w:rsid w:val="000815EE"/>
    <w:rsid w:val="001D1E4E"/>
    <w:rsid w:val="001D3E6B"/>
    <w:rsid w:val="00280469"/>
    <w:rsid w:val="002E260F"/>
    <w:rsid w:val="004A1F41"/>
    <w:rsid w:val="00562BBB"/>
    <w:rsid w:val="006308E2"/>
    <w:rsid w:val="006C25D2"/>
    <w:rsid w:val="007438BA"/>
    <w:rsid w:val="008C1771"/>
    <w:rsid w:val="009E54F8"/>
    <w:rsid w:val="00CE289E"/>
    <w:rsid w:val="52056D1D"/>
    <w:rsid w:val="75ED0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rFonts w:ascii="Times New Roman" w:hAnsi="Times New Roman" w:eastAsia="宋体" w:cs="Times New Roman"/>
      <w:sz w:val="18"/>
      <w:szCs w:val="18"/>
    </w:rPr>
  </w:style>
  <w:style w:type="character" w:customStyle="1" w:styleId="7">
    <w:name w:val="页脚 Char"/>
    <w:basedOn w:val="4"/>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290</Words>
  <Characters>1658</Characters>
  <Lines>13</Lines>
  <Paragraphs>3</Paragraphs>
  <TotalTime>0</TotalTime>
  <ScaleCrop>false</ScaleCrop>
  <LinksUpToDate>false</LinksUpToDate>
  <CharactersWithSpaces>1945</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2022-02-10T04:40:00Z</dcterms:created>
  <dc:creator>wxl</dc:creator>
  <cp:lastModifiedBy>DELL</cp:lastModifiedBy>
  <cp:lastPrinted>2022-02-10T07:10:00Z</cp:lastPrinted>
  <dcterms:modified xsi:type="dcterms:W3CDTF">2022-02-16T10:37:34Z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