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68E" w:rsidRDefault="0088068E" w:rsidP="0088068E">
      <w:pPr>
        <w:spacing w:line="640" w:lineRule="exact"/>
        <w:jc w:val="center"/>
        <w:rPr>
          <w:rFonts w:ascii="Times New Roman" w:eastAsia="方正小标宋_GBK" w:hAnsi="Times New Roman"/>
          <w:spacing w:val="-23"/>
          <w:sz w:val="44"/>
          <w:szCs w:val="44"/>
        </w:rPr>
      </w:pPr>
      <w:r>
        <w:rPr>
          <w:rFonts w:ascii="Times New Roman" w:eastAsia="方正小标宋_GBK" w:hAnsi="Times New Roman"/>
          <w:spacing w:val="-23"/>
          <w:sz w:val="44"/>
          <w:szCs w:val="44"/>
        </w:rPr>
        <w:t>关于重庆市开州区南雅镇人民政府</w:t>
      </w:r>
    </w:p>
    <w:p w:rsidR="0088068E" w:rsidRDefault="0088068E" w:rsidP="0088068E">
      <w:pPr>
        <w:spacing w:line="640" w:lineRule="exact"/>
        <w:jc w:val="center"/>
        <w:rPr>
          <w:rFonts w:ascii="Times New Roman" w:eastAsia="方正小标宋_GBK" w:hAnsi="Times New Roman"/>
          <w:spacing w:val="-23"/>
          <w:sz w:val="44"/>
          <w:szCs w:val="44"/>
        </w:rPr>
      </w:pPr>
      <w:r>
        <w:rPr>
          <w:rFonts w:ascii="Times New Roman" w:eastAsia="方正小标宋_GBK" w:hAnsi="Times New Roman"/>
          <w:spacing w:val="-23"/>
          <w:sz w:val="44"/>
          <w:szCs w:val="44"/>
        </w:rPr>
        <w:t>2024</w:t>
      </w:r>
      <w:r>
        <w:rPr>
          <w:rFonts w:ascii="Times New Roman" w:eastAsia="方正小标宋_GBK" w:hAnsi="Times New Roman"/>
          <w:spacing w:val="-23"/>
          <w:sz w:val="44"/>
          <w:szCs w:val="44"/>
        </w:rPr>
        <w:t>年预算执行情况和</w:t>
      </w:r>
      <w:r>
        <w:rPr>
          <w:rFonts w:ascii="Times New Roman" w:eastAsia="方正小标宋_GBK" w:hAnsi="Times New Roman"/>
          <w:spacing w:val="-23"/>
          <w:sz w:val="44"/>
          <w:szCs w:val="44"/>
        </w:rPr>
        <w:t>2025</w:t>
      </w:r>
      <w:r>
        <w:rPr>
          <w:rFonts w:ascii="Times New Roman" w:eastAsia="方正小标宋_GBK" w:hAnsi="Times New Roman"/>
          <w:spacing w:val="-23"/>
          <w:sz w:val="44"/>
          <w:szCs w:val="44"/>
        </w:rPr>
        <w:t>年预算草案的报告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180" w:afterAutospacing="0" w:line="560" w:lineRule="exact"/>
        <w:rPr>
          <w:rFonts w:ascii="Times New Roman" w:eastAsia="方正仿宋_GBK" w:hAnsi="Times New Roman"/>
          <w:color w:val="FF0000"/>
          <w:sz w:val="31"/>
          <w:szCs w:val="31"/>
          <w:shd w:val="clear" w:color="auto" w:fill="FFFFFF"/>
        </w:rPr>
      </w:pP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各位代表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: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受镇人民政府委托，现将南雅镇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年财政预算执行情况和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年预算草案的报告提请大会审查，并请各位列席的同志提出意见。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一、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年度财政预算执行情况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，全镇财政工作坚持以习近平新时代中国特色社会主义思想为指导，坚持稳中求进工作总基调，完整、准确、全面贯彻新发展理念，更加注重综合统筹、科学规范、讲求绩效和持续安全。加强财政资源统筹，大力优化支出结构，坚持党政机关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过紧日子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，优先保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三保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底线要求和目标，全面加强预算管理，提高财政资源配置效率和资金使用效益，为南雅经济社会平稳有序运行提供了坚实的财力支撑。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年收入总量为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2473.12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万元，完成年初预算的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108.37%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，较上年减少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14.24%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。其中：一般公共预算收入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2457.78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万元，主要是区对乡镇转移支付补助收入；政府性基金预算收入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15.34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支出总量为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2473.12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万元，其中：一般公共预算支出为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2457.78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万元，政府性基金支出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15.34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lastRenderedPageBreak/>
        <w:t>镇财政在确保各项刚需支出的同时，努力开源节流，积极筹措资金，保障了本年度政府投资项目的配套资金和相关重要工作的经费，年终达到了收支平衡。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（一）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年南雅镇财政一般预算支出分项目情况如下：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一般公共服务支出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723.14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万元，主要用于行政人员经费和基本公用经费、执法大队人员经费和基本公用经费、遗属困难生活补助等支出。完成年初预算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100.8%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文化旅游体育与传媒支出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29.16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万元，主要用于文化服务中心人员经费和基本公用经费。完成年初预算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101.39%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社会保障和就业支出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554.79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万元，主要用于社保所、退役军人服务站人员经费和基本公用经费、行政事业人员基本养老保险和职业年金、退休人员健康休养费、社区运行保障、养老服务、老党员生活补助等支出。完成年初预算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111.22%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4. 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卫生健康支出支出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93.8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万元，主要用于行政事业人员单位基本医疗、大额医疗、医保垫底和工伤保险等支出。完成年初预算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99.61%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5. 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节能环保支出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117.6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万元，主要用于人居环境中心人员经费、基本公用经费等基本支出和协税护税激励补助、非税收入激励补助、支出责任财力补助等特定项目类支出。由于下达非税激励补助支出，完成年初预算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128.27%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7.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农林水支出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808.42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万元，主要用于农服中心、水利服务中心人员经费和基本公用经费、村级运行保障、新全村易地搬迁集中安置点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年后续扶持项目、村干部养老保险补助等支出。由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lastRenderedPageBreak/>
        <w:t>于年中下达新全村易地搬迁集中安置点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年后续扶持项目、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年村干部养老保险补助和人员经费结算等支出，完成年初预算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118.26 %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8.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交通运输支出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37.7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万元，主要用于农村公路硬化和拓宽改造支出。由于年中追减项目支出，完成年初预算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52.04 %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9. 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住房保障支出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93.17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万元，主要用于行政事业人员的住房公积金缴纳支出。完成年初预算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97.93%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（二）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年政府性基金预算支出情况如下：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城乡社区支出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15.34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万元，主要用于配套费和污水处理费结算补助项目支出。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财政资金是全镇各项工作开展的重要保障，为管好用好财政资金，确保各项工作顺利推进，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年我们主要做了以下工作</w:t>
      </w:r>
      <w:r>
        <w:rPr>
          <w:rFonts w:ascii="Times New Roman" w:eastAsia="方正仿宋_GBK" w:hAnsi="Times New Roman" w:hint="eastAsia"/>
          <w:sz w:val="32"/>
          <w:szCs w:val="32"/>
          <w:shd w:val="clear" w:color="auto" w:fill="FFFFFF"/>
        </w:rPr>
        <w:t>：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开源盘活，增强财政保障能力。一是抓好地方协税护税，积极协同片区税务所在镇域范围开展税源摸排，将综合治税全面融入政府经济工作，梳理税源潜力，不断拓宽税基、财源，加大涉税信息共享力度，抓好辖区内建筑业、重大项目等重点税源管理，增加财源。二是突出抓好向上争资。找准上级支持投向与我镇发展实际的契合点，有针对性进行项目谋划推进，最大限度争取上级资金支持。三是督促国有资产出租租金、城市基础设施配套费、垃圾和污水处理费、罚没款、存款利息等非税收入按时征缴入库。四是加强各类资金统筹。进一步盘活存量资金，到期资金一律收回，收回资金一律优先用于财政平衡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lastRenderedPageBreak/>
        <w:t>2.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节流挖潜，缩减一般性支出。按照厉行节约、有保有压、分类压减的原则，持续深化党政机关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过紧日子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要求。一是合理执行预算公用经费定额，促进公用经费使用回归本质。二是杜绝铺张浪费。严格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三公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经费预算管理约束，严格执行会议、差旅、培训、公务接待等经费开支标准，努力降低行政运行成本，严格新增资产配置，积极盘活存量资产，加强资产管护。三是安排支出合理有序。坚持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三保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优先，优先保障涉及各类群体的基本民生支出，优先保障机关事业单位人员待遇，优先保障单位基本运转支出。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二、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黑体_GBK" w:hAnsi="Times New Roman"/>
          <w:sz w:val="32"/>
          <w:szCs w:val="32"/>
          <w:shd w:val="clear" w:color="auto" w:fill="FFFFFF"/>
        </w:rPr>
        <w:t>年财政预算草案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（一）财政收入预算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年南雅镇财政总收入预算目标为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2155.94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万元，其中一般公共预算收入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2068.59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万元，比上年实际减少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5.52%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；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政府性基金预算收入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21.13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万元，上年年初预算未安排，比上年实际增加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100%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其他专项资金收入要根据区政府和区级部门项目安排再追加。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（二）财政一般公共预算支出安排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年南雅镇财政安排的一般预算支出为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2134.81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万元，分项目明细如下：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一般公共服务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820.04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文化旅游体育与传媒支出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29.3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社会保障和就业支出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341.7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4. 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卫生健康支出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86.34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lastRenderedPageBreak/>
        <w:t>5.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节能环保支出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66.22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6.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城乡社区支出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95.82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7. 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农林水支出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609.24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8. 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住房保障支出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86.16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楷体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（三）财政政府性基金预算支出安排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color w:val="FF0000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年南雅镇财政安排的政府性基金预算支出为</w:t>
      </w: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21.13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万元，用于城乡社区支出。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方正楷体_GBK" w:hAnsi="Times New Roman"/>
          <w:sz w:val="32"/>
          <w:szCs w:val="32"/>
          <w:shd w:val="clear" w:color="auto" w:fill="FFFFFF"/>
        </w:rPr>
        <w:t>（四）财政其他专项资金支出安排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微软雅黑" w:hAnsi="Times New Roman"/>
          <w:sz w:val="32"/>
          <w:szCs w:val="32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年南雅镇财政其他专项资金年初无预算安排支出。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年是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十四五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规划的收官之年，也是全面深化改革的关键之年。坚持以习近平新时代中国特色社会主义思想为指导，全面贯彻党的二十大和二十届二中、三中全会精神和习近平总书记视察重庆重要讲话重要指示精神，深化财税体制改革，健全预算制度，坚持稳中求进工作总基调，完整准确全面贯彻新发展理念，积极服务和融入新发展格局，统筹好发展和安全，着力推动高质量发展。按照《重庆市开州区财政局关于认真做好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年预算工作的通知》（开州财预发〔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2024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12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号）精神，科学编制、依法理财、严格执行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年财政预算，精准研判财政收支形势，高效统筹财政资源，统筹发展与安全，落实债务防范化解任务，精准可持续兜住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三保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底线，提高资金使用效益，为加快推动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禾美南雅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建设、社会平稳有序运行提供财力保障。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1. 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加强财政资源和预算统筹。一是继续加大向上争资力度。坚持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发改牵头、部门联动、财政支持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的工作机制，全力做好镇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lastRenderedPageBreak/>
        <w:t>域项目储备，积极沟通汇报，奋力争资争项。二是加强各类资金统筹、暂付性款项清理消化。通过合理包装项目、使用上级资金覆盖、单位财力安排等多渠道清理消化历史形成的暂付性款项。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2. 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推动习惯过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紧日子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。严格落实机关事业单位习惯过紧日子举措，进一步加强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三公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经费、会议培训、节庆展会等经费管理约束，继续落实严控新增支出、防止盲目铺摊子上项目、规范政府采购、严控新增资产配置等管理要求，坚决压减不必要、非急需支出。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3. 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保障重点领域支出。合理安排支出次序。优先保障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三保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刚性支出，有序安排化债支出。预算编制、资金拨付按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“12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分法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序时优先保障各类人员经费、公用经费定额，精细跟踪项目实施进度，对以项目形式反映的运行类支出、各类其他项目严格与收入入库进度相匹配。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eastAsia="方正仿宋_GBK" w:hAnsi="Times New Roman"/>
          <w:sz w:val="32"/>
          <w:szCs w:val="32"/>
          <w:shd w:val="clear" w:color="auto" w:fill="FFFFFF"/>
        </w:rPr>
      </w:pPr>
      <w:r>
        <w:rPr>
          <w:rFonts w:ascii="Times New Roman" w:eastAsia="微软雅黑" w:hAnsi="Times New Roman"/>
          <w:sz w:val="32"/>
          <w:szCs w:val="32"/>
          <w:shd w:val="clear" w:color="auto" w:fill="FFFFFF"/>
        </w:rPr>
        <w:t>4. 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促进预算绩效有效融合。强化事前绩效评估与预算安排的有机衔接，预算资金内所有项目全部开展自评估。持续提升绩效编审质量，严格落实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财政初审、公开评审、绩效抽审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的审核机制。强化绩效约束，将绩效目标应用于绩效监控、绩效评价全过程。完善预算公开评审制度，结合审计检查、绩效评价结果等压减低效无效专项资金，提出有针对性的评审和保障建议，提升财政资金预算安排的精准度。</w:t>
      </w:r>
    </w:p>
    <w:p w:rsidR="0088068E" w:rsidRDefault="0088068E" w:rsidP="0088068E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30"/>
        <w:rPr>
          <w:rFonts w:ascii="Times New Roman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各位代表，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2025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年财政工作任务仍然艰巨、责任依然重大，我们将在镇党委的坚强领导下，自觉接受镇人大的监督指导，坚定信心、迎难而上、勇毅前行，以实际行动贯彻落实好上级决策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lastRenderedPageBreak/>
        <w:t>部署，为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禾美南雅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建设增添新活力，为加快建设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“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一极两大三区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”</w:t>
      </w:r>
      <w:r>
        <w:rPr>
          <w:rFonts w:ascii="Times New Roman" w:eastAsia="方正仿宋_GBK" w:hAnsi="Times New Roman"/>
          <w:sz w:val="32"/>
          <w:szCs w:val="32"/>
          <w:shd w:val="clear" w:color="auto" w:fill="FFFFFF"/>
        </w:rPr>
        <w:t>现代化新开州贡献南雅力量！</w:t>
      </w:r>
    </w:p>
    <w:p w:rsidR="007C4F6E" w:rsidRPr="0088068E" w:rsidRDefault="007C4F6E"/>
    <w:sectPr w:rsidR="007C4F6E" w:rsidRPr="0088068E">
      <w:footerReference w:type="default" r:id="rId4"/>
      <w:pgSz w:w="11906" w:h="16838"/>
      <w:pgMar w:top="1984" w:right="1446" w:bottom="1644" w:left="144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C4F6E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margin-left:104pt;margin-top:1pt;width:2in;height:2in;z-index:251660288;mso-wrap-style:none;mso-position-horizontal:outside;mso-position-horizontal-relative:margin" filled="f" stroked="f">
          <v:fill o:detectmouseclick="t"/>
          <v:textbox style="mso-fit-shape-to-text:t" inset="16pt,0,16pt,0">
            <w:txbxContent>
              <w:p w:rsidR="00000000" w:rsidRDefault="007C4F6E">
                <w:pPr>
                  <w:pStyle w:val="a4"/>
                  <w:rPr>
                    <w:rFonts w:ascii="宋体" w:hAnsi="宋体"/>
                    <w:sz w:val="28"/>
                  </w:rPr>
                </w:pPr>
                <w:r>
                  <w:rPr>
                    <w:rFonts w:ascii="宋体" w:hAnsi="宋体"/>
                    <w:sz w:val="28"/>
                  </w:rPr>
                  <w:t>—</w:t>
                </w:r>
                <w:r>
                  <w:rPr>
                    <w:rFonts w:ascii="宋体" w:hAnsi="宋体"/>
                    <w:sz w:val="24"/>
                  </w:rPr>
                  <w:t xml:space="preserve">　</w:t>
                </w:r>
                <w:r>
                  <w:rPr>
                    <w:rFonts w:ascii="宋体" w:hAnsi="宋体"/>
                    <w:sz w:val="28"/>
                  </w:rPr>
                  <w:fldChar w:fldCharType="begin"/>
                </w:r>
                <w:r>
                  <w:rPr>
                    <w:rFonts w:ascii="宋体" w:hAnsi="宋体"/>
                    <w:sz w:val="28"/>
                  </w:rPr>
                  <w:instrText xml:space="preserve"> PAGE  \* MERGEFORMAT </w:instrText>
                </w:r>
                <w:r>
                  <w:rPr>
                    <w:rFonts w:ascii="宋体" w:hAnsi="宋体"/>
                    <w:sz w:val="28"/>
                  </w:rPr>
                  <w:fldChar w:fldCharType="separate"/>
                </w:r>
                <w:r w:rsidR="0088068E">
                  <w:rPr>
                    <w:rFonts w:ascii="宋体" w:hAnsi="宋体"/>
                    <w:noProof/>
                    <w:sz w:val="28"/>
                  </w:rPr>
                  <w:t>6</w:t>
                </w:r>
                <w:r>
                  <w:rPr>
                    <w:rFonts w:ascii="宋体" w:hAnsi="宋体"/>
                    <w:sz w:val="28"/>
                  </w:rPr>
                  <w:fldChar w:fldCharType="end"/>
                </w:r>
                <w:r>
                  <w:rPr>
                    <w:rFonts w:ascii="宋体" w:hAnsi="宋体"/>
                    <w:sz w:val="24"/>
                  </w:rPr>
                  <w:t xml:space="preserve">　</w:t>
                </w:r>
                <w:r>
                  <w:rPr>
                    <w:rFonts w:ascii="宋体" w:hAnsi="宋体"/>
                    <w:sz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88068E"/>
    <w:rsid w:val="007C4F6E"/>
    <w:rsid w:val="00880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8068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88068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1"/>
    <w:link w:val="a4"/>
    <w:rsid w:val="0088068E"/>
    <w:rPr>
      <w:rFonts w:ascii="Calibri" w:eastAsia="宋体" w:hAnsi="Calibri" w:cs="Times New Roman"/>
      <w:sz w:val="18"/>
      <w:szCs w:val="24"/>
    </w:rPr>
  </w:style>
  <w:style w:type="paragraph" w:styleId="a5">
    <w:name w:val="Normal (Web)"/>
    <w:basedOn w:val="a"/>
    <w:rsid w:val="0088068E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0">
    <w:name w:val="Message Header"/>
    <w:basedOn w:val="a"/>
    <w:link w:val="Char0"/>
    <w:uiPriority w:val="99"/>
    <w:semiHidden/>
    <w:unhideWhenUsed/>
    <w:rsid w:val="008806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Char0">
    <w:name w:val="信息标题 Char"/>
    <w:basedOn w:val="a1"/>
    <w:link w:val="a0"/>
    <w:uiPriority w:val="99"/>
    <w:semiHidden/>
    <w:rsid w:val="0088068E"/>
    <w:rPr>
      <w:rFonts w:asciiTheme="majorHAnsi" w:eastAsiaTheme="majorEastAsia" w:hAnsiTheme="majorHAnsi" w:cstheme="majorBidi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2</cp:revision>
  <dcterms:created xsi:type="dcterms:W3CDTF">2025-03-27T02:15:00Z</dcterms:created>
  <dcterms:modified xsi:type="dcterms:W3CDTF">2025-03-27T02:15:00Z</dcterms:modified>
</cp:coreProperties>
</file>