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方正小标宋_GBK" w:cs="Times New Roman"/>
          <w:b/>
          <w:color w:val="FF0000"/>
          <w:spacing w:val="6"/>
          <w:w w:val="51"/>
          <w:sz w:val="130"/>
          <w:szCs w:val="130"/>
        </w:rPr>
      </w:pPr>
    </w:p>
    <w:p>
      <w:pPr>
        <w:jc w:val="center"/>
        <w:rPr>
          <w:rFonts w:hint="default" w:ascii="Times New Roman" w:hAnsi="Times New Roman" w:eastAsia="方正小标宋_GBK" w:cs="Times New Roman"/>
          <w:b/>
          <w:color w:val="FF0000"/>
          <w:spacing w:val="6"/>
          <w:w w:val="51"/>
          <w:sz w:val="130"/>
          <w:szCs w:val="130"/>
        </w:rPr>
      </w:pPr>
      <w:r>
        <w:rPr>
          <w:rFonts w:hint="default" w:ascii="Times New Roman" w:hAnsi="Times New Roman" w:eastAsia="方正小标宋_GBK" w:cs="Times New Roman"/>
          <w:b/>
          <w:color w:val="FF0000"/>
          <w:spacing w:val="6"/>
          <w:w w:val="51"/>
          <w:sz w:val="130"/>
          <w:szCs w:val="130"/>
        </w:rPr>
        <w:t>重庆市开州区长沙镇人民政府</w:t>
      </w:r>
    </w:p>
    <w:p>
      <w:pPr>
        <w:keepNext w:val="0"/>
        <w:keepLines w:val="0"/>
        <w:pageBreakBefore w:val="0"/>
        <w:widowControl w:val="0"/>
        <w:tabs>
          <w:tab w:val="left" w:pos="4282"/>
        </w:tabs>
        <w:kinsoku/>
        <w:wordWrap/>
        <w:overflowPunct/>
        <w:topLinePunct w:val="0"/>
        <w:autoSpaceDE/>
        <w:autoSpaceDN/>
        <w:bidi w:val="0"/>
        <w:adjustRightInd/>
        <w:snapToGrid/>
        <w:spacing w:line="600" w:lineRule="exact"/>
        <w:ind w:firstLine="320" w:firstLineChars="100"/>
        <w:jc w:val="both"/>
        <w:textAlignment w:val="auto"/>
        <w:rPr>
          <w:rFonts w:hint="default" w:ascii="Times New Roman" w:hAnsi="Times New Roman" w:eastAsia="方正楷体_GBK" w:cs="Times New Roman"/>
          <w:b/>
          <w:color w:val="FF0000"/>
          <w:spacing w:val="-20"/>
          <w:sz w:val="32"/>
          <w:szCs w:val="32"/>
          <w:lang w:val="en-US" w:eastAsia="zh-CN"/>
        </w:rPr>
      </w:pPr>
      <w:r>
        <w:rPr>
          <w:rFonts w:hint="default" w:ascii="Times New Roman" w:hAnsi="Times New Roman" w:eastAsia="方正仿宋_GBK" w:cs="Times New Roman"/>
          <w:sz w:val="32"/>
          <w:szCs w:val="32"/>
        </w:rPr>
        <w:t>开州长府文〔202</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号</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  签发人：</w:t>
      </w:r>
      <w:r>
        <w:rPr>
          <w:rFonts w:hint="eastAsia" w:ascii="Times New Roman" w:hAnsi="Times New Roman" w:eastAsia="方正楷体_GBK" w:cs="Times New Roman"/>
          <w:sz w:val="32"/>
          <w:szCs w:val="32"/>
          <w:lang w:eastAsia="zh-CN"/>
        </w:rPr>
        <w:t>李刚</w:t>
      </w:r>
      <w:r>
        <w:rPr>
          <w:rFonts w:hint="default" w:ascii="Times New Roman" w:hAnsi="Times New Roman" w:eastAsia="方正楷体_GBK" w:cs="Times New Roman"/>
          <w:sz w:val="32"/>
          <w:szCs w:val="32"/>
          <w:lang w:val="en-US" w:eastAsia="zh-CN"/>
        </w:rPr>
        <w:t xml:space="preserve"> </w:t>
      </w:r>
    </w:p>
    <w:p>
      <w:pPr>
        <w:keepNext w:val="0"/>
        <w:keepLines w:val="0"/>
        <w:pageBreakBefore w:val="0"/>
        <w:widowControl w:val="0"/>
        <w:tabs>
          <w:tab w:val="left" w:pos="4282"/>
        </w:tabs>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简体" w:cs="Times New Roman"/>
          <w:b/>
          <w:color w:val="FF0000"/>
          <w:spacing w:val="-20"/>
          <w:sz w:val="52"/>
          <w:szCs w:val="52"/>
        </w:rPr>
      </w:pPr>
      <w:r>
        <w:rPr>
          <w:rFonts w:hint="default"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column">
                  <wp:posOffset>53975</wp:posOffset>
                </wp:positionH>
                <wp:positionV relativeFrom="paragraph">
                  <wp:posOffset>175260</wp:posOffset>
                </wp:positionV>
                <wp:extent cx="5615940" cy="0"/>
                <wp:effectExtent l="0" t="13970" r="3810" b="24130"/>
                <wp:wrapNone/>
                <wp:docPr id="1" name="直接连接符 1"/>
                <wp:cNvGraphicFramePr/>
                <a:graphic xmlns:a="http://schemas.openxmlformats.org/drawingml/2006/main">
                  <a:graphicData uri="http://schemas.microsoft.com/office/word/2010/wordprocessingShape">
                    <wps:wsp>
                      <wps:cNvCnPr/>
                      <wps:spPr>
                        <a:xfrm>
                          <a:off x="0" y="0"/>
                          <a:ext cx="5615940" cy="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25pt;margin-top:13.8pt;height:0pt;width:442.2pt;z-index:251659264;mso-width-relative:page;mso-height-relative:page;" filled="f" stroked="t" coordsize="21600,21600" o:gfxdata="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ch1K99UAAAAHAQAADwAAAAAAAAABACAAAAAiAAAAZHJzL2Rvd25yZXYueG1sUEsB&#10;AhQAFAAAAAgAh07iQHn4V2H4AQAA5QMAAA4AAAAAAAAAAQAgAAAAJAEAAGRycy9lMm9Eb2MueG1s&#10;UEsFBgAAAAAGAAYAWQEAAI4FAAAAAA==&#10;">
                <v:fill on="f" focussize="0,0"/>
                <v:stroke weight="2.2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rPr>
        <w:t>重庆市开州区长沙镇人民政府</w:t>
      </w:r>
    </w:p>
    <w:p>
      <w:pPr>
        <w:pStyle w:val="5"/>
        <w:keepNext w:val="0"/>
        <w:keepLines w:val="0"/>
        <w:pageBreakBefore w:val="0"/>
        <w:widowControl w:val="0"/>
        <w:kinsoku/>
        <w:wordWrap/>
        <w:topLinePunct w:val="0"/>
        <w:autoSpaceDE/>
        <w:autoSpaceDN/>
        <w:bidi w:val="0"/>
        <w:adjustRightInd/>
        <w:snapToGrid/>
        <w:spacing w:line="594" w:lineRule="exact"/>
        <w:ind w:firstLine="0" w:firstLineChars="0"/>
        <w:jc w:val="center"/>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关于</w:t>
      </w:r>
      <w:r>
        <w:rPr>
          <w:rFonts w:hint="eastAsia" w:ascii="Times New Roman" w:hAnsi="Times New Roman" w:eastAsia="方正小标宋_GBK" w:cs="Times New Roman"/>
          <w:sz w:val="44"/>
          <w:szCs w:val="44"/>
          <w:highlight w:val="none"/>
          <w:lang w:val="en-US" w:eastAsia="zh-CN"/>
        </w:rPr>
        <w:t>长沙镇便民服务中心</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w:t>
      </w:r>
    </w:p>
    <w:p>
      <w:pPr>
        <w:pStyle w:val="5"/>
        <w:keepNext w:val="0"/>
        <w:keepLines w:val="0"/>
        <w:pageBreakBefore w:val="0"/>
        <w:widowControl w:val="0"/>
        <w:kinsoku/>
        <w:wordWrap/>
        <w:topLinePunct w:val="0"/>
        <w:autoSpaceDE/>
        <w:autoSpaceDN/>
        <w:bidi w:val="0"/>
        <w:adjustRightInd/>
        <w:snapToGrid/>
        <w:spacing w:line="594" w:lineRule="exact"/>
        <w:ind w:firstLine="0" w:firstLineChars="0"/>
        <w:jc w:val="center"/>
        <w:textAlignment w:val="auto"/>
        <w:rPr>
          <w:rFonts w:hint="default" w:ascii="Times New Roman" w:hAnsi="Times New Roman" w:eastAsia="方正小标宋_GBK" w:cs="Times New Roman"/>
          <w:color w:val="auto"/>
          <w:sz w:val="44"/>
          <w:szCs w:val="44"/>
          <w:highlight w:val="none"/>
          <w:lang w:eastAsia="zh-CN"/>
        </w:rPr>
      </w:pPr>
      <w:r>
        <w:rPr>
          <w:rFonts w:hint="default" w:ascii="Times New Roman" w:hAnsi="Times New Roman" w:eastAsia="方正小标宋_GBK" w:cs="Times New Roman"/>
          <w:color w:val="000000"/>
          <w:sz w:val="44"/>
          <w:szCs w:val="44"/>
          <w:highlight w:val="none"/>
        </w:rPr>
        <w:t>部门</w:t>
      </w:r>
      <w:r>
        <w:rPr>
          <w:rFonts w:hint="default" w:ascii="Times New Roman" w:hAnsi="Times New Roman" w:eastAsia="方正小标宋_GBK" w:cs="Times New Roman"/>
          <w:sz w:val="44"/>
          <w:szCs w:val="44"/>
          <w:highlight w:val="none"/>
        </w:rPr>
        <w:t>预算情况公开</w:t>
      </w:r>
      <w:r>
        <w:rPr>
          <w:rFonts w:hint="default" w:ascii="Times New Roman" w:hAnsi="Times New Roman" w:eastAsia="方正小标宋_GBK" w:cs="Times New Roman"/>
          <w:color w:val="auto"/>
          <w:sz w:val="44"/>
          <w:szCs w:val="44"/>
          <w:highlight w:val="none"/>
        </w:rPr>
        <w:t>的</w:t>
      </w:r>
      <w:r>
        <w:rPr>
          <w:rFonts w:hint="default" w:ascii="Times New Roman" w:hAnsi="Times New Roman" w:eastAsia="方正小标宋_GBK" w:cs="Times New Roman"/>
          <w:color w:val="auto"/>
          <w:sz w:val="44"/>
          <w:szCs w:val="44"/>
          <w:highlight w:val="none"/>
          <w:lang w:eastAsia="zh-CN"/>
        </w:rPr>
        <w:t>公示</w:t>
      </w:r>
    </w:p>
    <w:p>
      <w:pPr>
        <w:pStyle w:val="5"/>
        <w:keepNext w:val="0"/>
        <w:keepLines w:val="0"/>
        <w:pageBreakBefore w:val="0"/>
        <w:widowControl w:val="0"/>
        <w:kinsoku/>
        <w:wordWrap/>
        <w:topLinePunct w:val="0"/>
        <w:autoSpaceDE/>
        <w:autoSpaceDN/>
        <w:bidi w:val="0"/>
        <w:adjustRightInd/>
        <w:snapToGrid/>
        <w:spacing w:line="594" w:lineRule="exact"/>
        <w:ind w:firstLine="0" w:firstLineChars="0"/>
        <w:jc w:val="center"/>
        <w:textAlignment w:val="auto"/>
        <w:rPr>
          <w:rFonts w:hint="default" w:ascii="Times New Roman" w:hAnsi="Times New Roman" w:eastAsia="方正小标宋_GBK" w:cs="Times New Roman"/>
          <w:color w:val="auto"/>
          <w:sz w:val="44"/>
          <w:szCs w:val="44"/>
          <w:highlight w:val="none"/>
          <w:lang w:val="en-US" w:eastAsia="zh-CN"/>
        </w:rPr>
      </w:pPr>
    </w:p>
    <w:p>
      <w:pPr>
        <w:keepNext w:val="0"/>
        <w:keepLines w:val="0"/>
        <w:pageBreakBefore w:val="0"/>
        <w:widowControl w:val="0"/>
        <w:kinsoku/>
        <w:wordWrap/>
        <w:topLinePunct w:val="0"/>
        <w:autoSpaceDE/>
        <w:autoSpaceDN/>
        <w:bidi w:val="0"/>
        <w:adjustRightInd/>
        <w:snapToGrid/>
        <w:spacing w:line="594" w:lineRule="exact"/>
        <w:ind w:firstLine="640" w:firstLineChars="200"/>
        <w:textAlignment w:val="auto"/>
        <w:rPr>
          <w:rFonts w:eastAsia="方正仿宋_GBK"/>
          <w:bCs/>
          <w:sz w:val="32"/>
          <w:szCs w:val="32"/>
        </w:rPr>
      </w:pPr>
      <w:r>
        <w:rPr>
          <w:rFonts w:hint="default" w:ascii="Times New Roman" w:hAnsi="Times New Roman" w:eastAsia="方正仿宋_GBK" w:cs="Times New Roman"/>
          <w:sz w:val="32"/>
          <w:szCs w:val="32"/>
          <w:highlight w:val="none"/>
        </w:rPr>
        <w:t>按照有关财政预算公开的部署和要求，依据《中华人民共和国政府信息公开条例》（国务院令第492号）和</w:t>
      </w:r>
      <w:r>
        <w:rPr>
          <w:rFonts w:hint="eastAsia" w:eastAsia="方正仿宋_GBK"/>
          <w:bCs/>
          <w:sz w:val="32"/>
          <w:szCs w:val="32"/>
          <w:lang w:eastAsia="zh-CN"/>
        </w:rPr>
        <w:t>《</w:t>
      </w:r>
      <w:r>
        <w:rPr>
          <w:rFonts w:hint="eastAsia" w:eastAsia="方正仿宋_GBK"/>
          <w:bCs/>
          <w:sz w:val="32"/>
          <w:szCs w:val="32"/>
          <w:lang w:val="en-US" w:eastAsia="zh-CN"/>
        </w:rPr>
        <w:t>中华人民共和国预算法</w:t>
      </w:r>
      <w:r>
        <w:rPr>
          <w:rFonts w:hint="eastAsia" w:eastAsia="方正仿宋_GBK"/>
          <w:bCs/>
          <w:sz w:val="32"/>
          <w:szCs w:val="32"/>
          <w:lang w:eastAsia="zh-CN"/>
        </w:rPr>
        <w:t>》</w:t>
      </w:r>
      <w:r>
        <w:rPr>
          <w:rFonts w:eastAsia="方正仿宋_GBK"/>
          <w:bCs/>
          <w:sz w:val="32"/>
          <w:szCs w:val="32"/>
        </w:rPr>
        <w:t>，现将重庆市开州区长沙</w:t>
      </w:r>
      <w:r>
        <w:rPr>
          <w:rFonts w:hint="eastAsia" w:eastAsia="方正仿宋_GBK"/>
          <w:bCs/>
          <w:sz w:val="32"/>
          <w:szCs w:val="32"/>
          <w:lang w:eastAsia="zh-CN"/>
        </w:rPr>
        <w:t>镇便民服务中心</w:t>
      </w:r>
      <w:r>
        <w:rPr>
          <w:rFonts w:eastAsia="方正仿宋_GBK"/>
          <w:bCs/>
          <w:sz w:val="32"/>
          <w:szCs w:val="32"/>
        </w:rPr>
        <w:t>202</w:t>
      </w:r>
      <w:r>
        <w:rPr>
          <w:rFonts w:hint="eastAsia" w:eastAsia="方正仿宋_GBK"/>
          <w:bCs/>
          <w:sz w:val="32"/>
          <w:szCs w:val="32"/>
          <w:lang w:val="en-US" w:eastAsia="zh-CN"/>
        </w:rPr>
        <w:t>6</w:t>
      </w:r>
      <w:r>
        <w:rPr>
          <w:rFonts w:eastAsia="方正仿宋_GBK"/>
          <w:bCs/>
          <w:sz w:val="32"/>
          <w:szCs w:val="32"/>
        </w:rPr>
        <w:t>年部门预算批复情况公开如下：</w:t>
      </w:r>
    </w:p>
    <w:p>
      <w:pPr>
        <w:keepNext w:val="0"/>
        <w:keepLines w:val="0"/>
        <w:pageBreakBefore w:val="0"/>
        <w:widowControl w:val="0"/>
        <w:kinsoku/>
        <w:wordWrap/>
        <w:topLinePunct w:val="0"/>
        <w:autoSpaceDE/>
        <w:autoSpaceDN/>
        <w:bidi w:val="0"/>
        <w:adjustRightInd/>
        <w:snapToGrid/>
        <w:spacing w:line="594" w:lineRule="exact"/>
        <w:jc w:val="center"/>
        <w:textAlignment w:val="auto"/>
        <w:rPr>
          <w:rFonts w:hint="default" w:ascii="Times New Roman" w:hAnsi="Times New Roman" w:eastAsia="方正黑体_GBK" w:cs="Times New Roman"/>
          <w:sz w:val="32"/>
          <w:szCs w:val="32"/>
          <w:highlight w:val="none"/>
        </w:rPr>
      </w:pPr>
    </w:p>
    <w:p>
      <w:pPr>
        <w:keepNext w:val="0"/>
        <w:keepLines w:val="0"/>
        <w:pageBreakBefore w:val="0"/>
        <w:widowControl w:val="0"/>
        <w:kinsoku/>
        <w:wordWrap/>
        <w:topLinePunct w:val="0"/>
        <w:autoSpaceDE/>
        <w:autoSpaceDN/>
        <w:bidi w:val="0"/>
        <w:adjustRightInd/>
        <w:snapToGrid/>
        <w:spacing w:line="594" w:lineRule="exact"/>
        <w:jc w:val="center"/>
        <w:textAlignment w:val="auto"/>
        <w:rPr>
          <w:rFonts w:hint="default" w:ascii="Times New Roman" w:hAnsi="Times New Roman" w:eastAsia="方正黑体_GBK" w:cs="Times New Roman"/>
          <w:sz w:val="32"/>
          <w:szCs w:val="32"/>
          <w:highlight w:val="none"/>
        </w:rPr>
      </w:pPr>
    </w:p>
    <w:p>
      <w:pPr>
        <w:keepNext w:val="0"/>
        <w:keepLines w:val="0"/>
        <w:pageBreakBefore w:val="0"/>
        <w:widowControl w:val="0"/>
        <w:kinsoku/>
        <w:wordWrap/>
        <w:topLinePunct w:val="0"/>
        <w:autoSpaceDE/>
        <w:autoSpaceDN/>
        <w:bidi w:val="0"/>
        <w:adjustRightInd/>
        <w:snapToGrid/>
        <w:spacing w:line="594" w:lineRule="exact"/>
        <w:jc w:val="center"/>
        <w:textAlignment w:val="auto"/>
        <w:rPr>
          <w:rFonts w:hint="default" w:ascii="Times New Roman" w:hAnsi="Times New Roman" w:eastAsia="方正黑体_GBK" w:cs="Times New Roman"/>
          <w:sz w:val="32"/>
          <w:szCs w:val="32"/>
          <w:highlight w:val="none"/>
        </w:rPr>
      </w:pPr>
    </w:p>
    <w:p>
      <w:pPr>
        <w:keepNext w:val="0"/>
        <w:keepLines w:val="0"/>
        <w:pageBreakBefore w:val="0"/>
        <w:widowControl w:val="0"/>
        <w:kinsoku/>
        <w:wordWrap/>
        <w:topLinePunct w:val="0"/>
        <w:autoSpaceDE/>
        <w:autoSpaceDN/>
        <w:bidi w:val="0"/>
        <w:adjustRightInd/>
        <w:snapToGrid/>
        <w:spacing w:line="594" w:lineRule="exact"/>
        <w:jc w:val="center"/>
        <w:textAlignment w:val="auto"/>
        <w:rPr>
          <w:rFonts w:hint="default" w:ascii="Times New Roman" w:hAnsi="Times New Roman" w:eastAsia="方正黑体_GBK" w:cs="Times New Roman"/>
          <w:sz w:val="32"/>
          <w:szCs w:val="32"/>
          <w:highlight w:val="none"/>
        </w:rPr>
      </w:pPr>
    </w:p>
    <w:p>
      <w:pPr>
        <w:keepNext w:val="0"/>
        <w:keepLines w:val="0"/>
        <w:pageBreakBefore w:val="0"/>
        <w:widowControl w:val="0"/>
        <w:kinsoku/>
        <w:wordWrap/>
        <w:topLinePunct w:val="0"/>
        <w:autoSpaceDE/>
        <w:autoSpaceDN/>
        <w:bidi w:val="0"/>
        <w:adjustRightInd/>
        <w:snapToGrid/>
        <w:spacing w:line="594" w:lineRule="exact"/>
        <w:jc w:val="both"/>
        <w:textAlignment w:val="auto"/>
        <w:rPr>
          <w:rFonts w:hint="default" w:ascii="Times New Roman" w:hAnsi="Times New Roman" w:eastAsia="方正小标宋_GBK" w:cs="Times New Roman"/>
          <w:sz w:val="44"/>
          <w:szCs w:val="44"/>
          <w:highlight w:val="none"/>
        </w:rPr>
        <w:sectPr>
          <w:headerReference r:id="rId3" w:type="default"/>
          <w:footerReference r:id="rId4" w:type="default"/>
          <w:footerReference r:id="rId5" w:type="even"/>
          <w:pgSz w:w="11906" w:h="16838"/>
          <w:pgMar w:top="1984" w:right="1446" w:bottom="1644" w:left="1446" w:header="851" w:footer="1304" w:gutter="0"/>
          <w:cols w:space="0" w:num="1"/>
          <w:rtlGutter w:val="0"/>
          <w:docGrid w:type="lines" w:linePitch="315" w:charSpace="0"/>
        </w:sectPr>
      </w:pPr>
    </w:p>
    <w:p>
      <w:pPr>
        <w:keepNext w:val="0"/>
        <w:keepLines w:val="0"/>
        <w:pageBreakBefore w:val="0"/>
        <w:widowControl w:val="0"/>
        <w:kinsoku/>
        <w:wordWrap/>
        <w:topLinePunct w:val="0"/>
        <w:autoSpaceDE/>
        <w:autoSpaceDN/>
        <w:bidi w:val="0"/>
        <w:adjustRightInd/>
        <w:snapToGrid/>
        <w:spacing w:line="594" w:lineRule="exact"/>
        <w:jc w:val="center"/>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目</w:t>
      </w:r>
      <w:r>
        <w:rPr>
          <w:rFonts w:hint="eastAsia" w:ascii="Times New Roman" w:hAnsi="Times New Roman" w:eastAsia="方正小标宋_GBK" w:cs="Times New Roman"/>
          <w:sz w:val="44"/>
          <w:szCs w:val="44"/>
          <w:highlight w:val="none"/>
          <w:lang w:val="en-US" w:eastAsia="zh-CN"/>
        </w:rPr>
        <w:t xml:space="preserve">   </w:t>
      </w:r>
      <w:r>
        <w:rPr>
          <w:rFonts w:hint="default" w:ascii="Times New Roman" w:hAnsi="Times New Roman" w:eastAsia="方正小标宋_GBK" w:cs="Times New Roman"/>
          <w:sz w:val="44"/>
          <w:szCs w:val="44"/>
          <w:highlight w:val="none"/>
        </w:rPr>
        <w:t xml:space="preserve"> 录</w:t>
      </w:r>
    </w:p>
    <w:p>
      <w:pPr>
        <w:keepNext w:val="0"/>
        <w:keepLines w:val="0"/>
        <w:pageBreakBefore w:val="0"/>
        <w:widowControl w:val="0"/>
        <w:kinsoku/>
        <w:wordWrap/>
        <w:topLinePunct w:val="0"/>
        <w:autoSpaceDE/>
        <w:autoSpaceDN/>
        <w:bidi w:val="0"/>
        <w:adjustRightInd/>
        <w:snapToGrid/>
        <w:spacing w:line="594" w:lineRule="exact"/>
        <w:textAlignment w:val="auto"/>
        <w:rPr>
          <w:rFonts w:hint="default" w:ascii="Times New Roman" w:hAnsi="Times New Roman" w:cs="Times New Roman"/>
          <w:highlight w:val="none"/>
        </w:rPr>
      </w:pPr>
    </w:p>
    <w:p>
      <w:pPr>
        <w:keepNext w:val="0"/>
        <w:keepLines w:val="0"/>
        <w:pageBreakBefore w:val="0"/>
        <w:widowControl w:val="0"/>
        <w:kinsoku/>
        <w:wordWrap/>
        <w:topLinePunct w:val="0"/>
        <w:autoSpaceDE/>
        <w:autoSpaceDN/>
        <w:bidi w:val="0"/>
        <w:adjustRightInd/>
        <w:snapToGrid/>
        <w:spacing w:line="594" w:lineRule="exact"/>
        <w:jc w:val="center"/>
        <w:textAlignment w:val="auto"/>
        <w:rPr>
          <w:rFonts w:hint="default" w:ascii="Times New Roman" w:hAnsi="Times New Roman" w:eastAsia="方正楷体_GBK" w:cs="Times New Roman"/>
          <w:sz w:val="32"/>
          <w:szCs w:val="32"/>
          <w:highlight w:val="none"/>
        </w:rPr>
      </w:pPr>
      <w:r>
        <w:rPr>
          <w:rFonts w:hint="default" w:ascii="Times New Roman" w:hAnsi="Times New Roman" w:eastAsia="方正楷体_GBK" w:cs="Times New Roman"/>
          <w:sz w:val="32"/>
          <w:szCs w:val="32"/>
          <w:highlight w:val="none"/>
        </w:rPr>
        <w:t>第一部分：</w:t>
      </w:r>
      <w:r>
        <w:rPr>
          <w:rFonts w:hint="default" w:ascii="Times New Roman" w:hAnsi="Times New Roman" w:eastAsia="方正楷体_GBK" w:cs="Times New Roman"/>
          <w:sz w:val="32"/>
          <w:szCs w:val="32"/>
          <w:highlight w:val="none"/>
          <w:lang w:val="en-US" w:eastAsia="zh-CN"/>
        </w:rPr>
        <w:t>2026</w:t>
      </w:r>
      <w:r>
        <w:rPr>
          <w:rFonts w:hint="default" w:ascii="Times New Roman" w:hAnsi="Times New Roman" w:eastAsia="方正楷体_GBK" w:cs="Times New Roman"/>
          <w:sz w:val="32"/>
          <w:szCs w:val="32"/>
          <w:highlight w:val="none"/>
        </w:rPr>
        <w:t>年部门预算情况说明</w:t>
      </w:r>
    </w:p>
    <w:p>
      <w:pPr>
        <w:keepNext w:val="0"/>
        <w:keepLines w:val="0"/>
        <w:pageBreakBefore w:val="0"/>
        <w:widowControl w:val="0"/>
        <w:kinsoku/>
        <w:wordWrap/>
        <w:topLinePunct w:val="0"/>
        <w:autoSpaceDE/>
        <w:autoSpaceDN/>
        <w:bidi w:val="0"/>
        <w:adjustRightInd/>
        <w:snapToGrid/>
        <w:spacing w:line="594" w:lineRule="exact"/>
        <w:textAlignment w:val="auto"/>
        <w:rPr>
          <w:rFonts w:hint="default" w:ascii="Times New Roman" w:hAnsi="Times New Roman" w:cs="Times New Roman"/>
          <w:highlight w:val="none"/>
        </w:rPr>
      </w:pPr>
    </w:p>
    <w:p>
      <w:pPr>
        <w:keepNext w:val="0"/>
        <w:keepLines w:val="0"/>
        <w:pageBreakBefore w:val="0"/>
        <w:widowControl w:val="0"/>
        <w:kinsoku/>
        <w:wordWrap/>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一、单位基本情况</w:t>
      </w:r>
    </w:p>
    <w:p>
      <w:pPr>
        <w:keepNext w:val="0"/>
        <w:keepLines w:val="0"/>
        <w:pageBreakBefore w:val="0"/>
        <w:widowControl w:val="0"/>
        <w:kinsoku/>
        <w:wordWrap/>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二、部门收支总体情况</w:t>
      </w:r>
    </w:p>
    <w:p>
      <w:pPr>
        <w:keepNext w:val="0"/>
        <w:keepLines w:val="0"/>
        <w:pageBreakBefore w:val="0"/>
        <w:widowControl w:val="0"/>
        <w:kinsoku/>
        <w:wordWrap/>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三、部门预算情况说明</w:t>
      </w:r>
    </w:p>
    <w:p>
      <w:pPr>
        <w:keepNext w:val="0"/>
        <w:keepLines w:val="0"/>
        <w:pageBreakBefore w:val="0"/>
        <w:widowControl w:val="0"/>
        <w:kinsoku/>
        <w:wordWrap/>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四、“三公”经费情况说明</w:t>
      </w:r>
    </w:p>
    <w:p>
      <w:pPr>
        <w:keepNext w:val="0"/>
        <w:keepLines w:val="0"/>
        <w:pageBreakBefore w:val="0"/>
        <w:widowControl w:val="0"/>
        <w:kinsoku/>
        <w:wordWrap/>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五、其他重要事项的情况说明</w:t>
      </w:r>
    </w:p>
    <w:p>
      <w:pPr>
        <w:keepNext w:val="0"/>
        <w:keepLines w:val="0"/>
        <w:pageBreakBefore w:val="0"/>
        <w:widowControl w:val="0"/>
        <w:kinsoku/>
        <w:wordWrap/>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六、专业性名词解释</w:t>
      </w:r>
    </w:p>
    <w:p>
      <w:pPr>
        <w:pStyle w:val="2"/>
        <w:keepNext w:val="0"/>
        <w:keepLines w:val="0"/>
        <w:pageBreakBefore w:val="0"/>
        <w:widowControl w:val="0"/>
        <w:kinsoku/>
        <w:wordWrap/>
        <w:topLinePunct w:val="0"/>
        <w:autoSpaceDE/>
        <w:autoSpaceDN/>
        <w:bidi w:val="0"/>
        <w:adjustRightInd/>
        <w:snapToGrid/>
        <w:spacing w:line="594" w:lineRule="exact"/>
        <w:textAlignment w:val="auto"/>
        <w:rPr>
          <w:rFonts w:hint="default"/>
        </w:rPr>
      </w:pPr>
    </w:p>
    <w:p>
      <w:pPr>
        <w:keepNext w:val="0"/>
        <w:keepLines w:val="0"/>
        <w:pageBreakBefore w:val="0"/>
        <w:widowControl w:val="0"/>
        <w:kinsoku/>
        <w:wordWrap/>
        <w:topLinePunct w:val="0"/>
        <w:autoSpaceDE/>
        <w:autoSpaceDN/>
        <w:bidi w:val="0"/>
        <w:adjustRightInd/>
        <w:snapToGrid/>
        <w:spacing w:line="594" w:lineRule="exact"/>
        <w:jc w:val="center"/>
        <w:textAlignment w:val="auto"/>
        <w:rPr>
          <w:rFonts w:hint="default" w:ascii="Times New Roman" w:hAnsi="Times New Roman" w:cs="Times New Roman"/>
          <w:highlight w:val="none"/>
        </w:rPr>
      </w:pPr>
      <w:r>
        <w:rPr>
          <w:rFonts w:hint="default" w:ascii="Times New Roman" w:hAnsi="Times New Roman" w:eastAsia="方正楷体_GBK" w:cs="Times New Roman"/>
          <w:sz w:val="32"/>
          <w:szCs w:val="32"/>
          <w:highlight w:val="none"/>
        </w:rPr>
        <w:t>第二部分：</w:t>
      </w:r>
      <w:r>
        <w:rPr>
          <w:rFonts w:hint="default" w:ascii="Times New Roman" w:hAnsi="Times New Roman" w:eastAsia="方正楷体_GBK" w:cs="Times New Roman"/>
          <w:sz w:val="32"/>
          <w:szCs w:val="32"/>
          <w:highlight w:val="none"/>
          <w:lang w:val="en-US" w:eastAsia="zh-CN"/>
        </w:rPr>
        <w:t>2026</w:t>
      </w:r>
      <w:r>
        <w:rPr>
          <w:rFonts w:hint="default" w:ascii="Times New Roman" w:hAnsi="Times New Roman" w:eastAsia="方正楷体_GBK" w:cs="Times New Roman"/>
          <w:sz w:val="32"/>
          <w:szCs w:val="32"/>
          <w:highlight w:val="none"/>
        </w:rPr>
        <w:t>年部门预算公开报表</w:t>
      </w:r>
    </w:p>
    <w:p>
      <w:pPr>
        <w:keepNext w:val="0"/>
        <w:keepLines w:val="0"/>
        <w:pageBreakBefore w:val="0"/>
        <w:widowControl w:val="0"/>
        <w:kinsoku/>
        <w:wordWrap/>
        <w:topLinePunct w:val="0"/>
        <w:autoSpaceDE/>
        <w:autoSpaceDN/>
        <w:bidi w:val="0"/>
        <w:adjustRightInd/>
        <w:snapToGrid/>
        <w:spacing w:line="594" w:lineRule="exact"/>
        <w:textAlignment w:val="auto"/>
        <w:rPr>
          <w:rFonts w:hint="default" w:ascii="Times New Roman" w:hAnsi="Times New Roman" w:cs="Times New Roman"/>
          <w:highlight w:val="none"/>
        </w:rPr>
      </w:pPr>
    </w:p>
    <w:p>
      <w:pPr>
        <w:keepNext w:val="0"/>
        <w:keepLines w:val="0"/>
        <w:pageBreakBefore w:val="0"/>
        <w:widowControl w:val="0"/>
        <w:kinsoku/>
        <w:wordWrap/>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w:t>
      </w:r>
      <w:r>
        <w:rPr>
          <w:rFonts w:hint="eastAsia" w:ascii="Times New Roman" w:hAnsi="Times New Roman" w:eastAsia="方正仿宋_GBK" w:cs="Times New Roman"/>
          <w:sz w:val="32"/>
          <w:szCs w:val="32"/>
          <w:highlight w:val="none"/>
          <w:lang w:val="en-US" w:eastAsia="zh-CN"/>
        </w:rPr>
        <w:t>重庆市开州区长沙镇便民服务中心</w:t>
      </w:r>
      <w:r>
        <w:rPr>
          <w:rFonts w:hint="default" w:ascii="Times New Roman" w:hAnsi="Times New Roman" w:eastAsia="方正仿宋_GBK" w:cs="Times New Roman"/>
          <w:sz w:val="32"/>
          <w:szCs w:val="32"/>
          <w:highlight w:val="none"/>
        </w:rPr>
        <w:t>收支预算总表</w:t>
      </w:r>
    </w:p>
    <w:p>
      <w:pPr>
        <w:keepNext w:val="0"/>
        <w:keepLines w:val="0"/>
        <w:pageBreakBefore w:val="0"/>
        <w:widowControl w:val="0"/>
        <w:kinsoku/>
        <w:wordWrap/>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表2、</w:t>
      </w:r>
      <w:r>
        <w:rPr>
          <w:rFonts w:hint="eastAsia" w:ascii="Times New Roman" w:hAnsi="Times New Roman" w:eastAsia="方正仿宋_GBK" w:cs="Times New Roman"/>
          <w:sz w:val="32"/>
          <w:szCs w:val="32"/>
          <w:highlight w:val="none"/>
          <w:lang w:val="en-US" w:eastAsia="zh-CN"/>
        </w:rPr>
        <w:t>重庆市开州区长沙镇便民服务中心</w:t>
      </w:r>
      <w:r>
        <w:rPr>
          <w:rFonts w:hint="default" w:ascii="Times New Roman" w:hAnsi="Times New Roman" w:eastAsia="方正仿宋_GBK" w:cs="Times New Roman"/>
          <w:sz w:val="32"/>
          <w:szCs w:val="32"/>
          <w:highlight w:val="none"/>
        </w:rPr>
        <w:t>收入总表</w:t>
      </w:r>
    </w:p>
    <w:p>
      <w:pPr>
        <w:keepNext w:val="0"/>
        <w:keepLines w:val="0"/>
        <w:pageBreakBefore w:val="0"/>
        <w:widowControl w:val="0"/>
        <w:kinsoku/>
        <w:wordWrap/>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表3、</w:t>
      </w:r>
      <w:r>
        <w:rPr>
          <w:rFonts w:hint="eastAsia" w:ascii="Times New Roman" w:hAnsi="Times New Roman" w:eastAsia="方正仿宋_GBK" w:cs="Times New Roman"/>
          <w:sz w:val="32"/>
          <w:szCs w:val="32"/>
          <w:highlight w:val="none"/>
          <w:lang w:val="en-US" w:eastAsia="zh-CN"/>
        </w:rPr>
        <w:t>重庆市开州区长沙镇便民服务中心</w:t>
      </w:r>
      <w:r>
        <w:rPr>
          <w:rFonts w:hint="default" w:ascii="Times New Roman" w:hAnsi="Times New Roman" w:eastAsia="方正仿宋_GBK" w:cs="Times New Roman"/>
          <w:sz w:val="32"/>
          <w:szCs w:val="32"/>
          <w:highlight w:val="none"/>
        </w:rPr>
        <w:t>本年支出预算总表</w:t>
      </w:r>
    </w:p>
    <w:p>
      <w:pPr>
        <w:keepNext w:val="0"/>
        <w:keepLines w:val="0"/>
        <w:pageBreakBefore w:val="0"/>
        <w:widowControl w:val="0"/>
        <w:kinsoku/>
        <w:wordWrap/>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表4、</w:t>
      </w:r>
      <w:r>
        <w:rPr>
          <w:rFonts w:hint="eastAsia" w:ascii="Times New Roman" w:hAnsi="Times New Roman" w:eastAsia="方正仿宋_GBK" w:cs="Times New Roman"/>
          <w:sz w:val="32"/>
          <w:szCs w:val="32"/>
          <w:highlight w:val="none"/>
          <w:lang w:val="en-US" w:eastAsia="zh-CN"/>
        </w:rPr>
        <w:t>重庆市开州区长沙镇便民服务中心</w:t>
      </w:r>
      <w:r>
        <w:rPr>
          <w:rFonts w:hint="default" w:ascii="Times New Roman" w:hAnsi="Times New Roman" w:eastAsia="方正仿宋_GBK" w:cs="Times New Roman"/>
          <w:sz w:val="32"/>
          <w:szCs w:val="32"/>
          <w:highlight w:val="none"/>
        </w:rPr>
        <w:t>财政拨款收支预算总表</w:t>
      </w:r>
    </w:p>
    <w:p>
      <w:pPr>
        <w:keepNext w:val="0"/>
        <w:keepLines w:val="0"/>
        <w:pageBreakBefore w:val="0"/>
        <w:widowControl w:val="0"/>
        <w:kinsoku/>
        <w:wordWrap/>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表5、</w:t>
      </w:r>
      <w:r>
        <w:rPr>
          <w:rFonts w:hint="eastAsia" w:ascii="Times New Roman" w:hAnsi="Times New Roman" w:eastAsia="方正仿宋_GBK" w:cs="Times New Roman"/>
          <w:sz w:val="32"/>
          <w:szCs w:val="32"/>
          <w:highlight w:val="none"/>
          <w:lang w:val="en-US" w:eastAsia="zh-CN"/>
        </w:rPr>
        <w:t>重庆市开州区长沙镇便民服务中心</w:t>
      </w:r>
      <w:r>
        <w:rPr>
          <w:rFonts w:hint="default" w:ascii="Times New Roman" w:hAnsi="Times New Roman" w:eastAsia="方正仿宋_GBK" w:cs="Times New Roman"/>
          <w:sz w:val="32"/>
          <w:szCs w:val="32"/>
          <w:highlight w:val="none"/>
        </w:rPr>
        <w:t>一般公共预算支出预算表</w:t>
      </w:r>
    </w:p>
    <w:p>
      <w:pPr>
        <w:keepNext w:val="0"/>
        <w:keepLines w:val="0"/>
        <w:pageBreakBefore w:val="0"/>
        <w:widowControl w:val="0"/>
        <w:kinsoku/>
        <w:wordWrap/>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表6、</w:t>
      </w:r>
      <w:r>
        <w:rPr>
          <w:rFonts w:hint="eastAsia" w:ascii="Times New Roman" w:hAnsi="Times New Roman" w:eastAsia="方正仿宋_GBK" w:cs="Times New Roman"/>
          <w:sz w:val="32"/>
          <w:szCs w:val="32"/>
          <w:highlight w:val="none"/>
          <w:lang w:val="en-US" w:eastAsia="zh-CN"/>
        </w:rPr>
        <w:t>重庆市开州区长沙镇便民服务中心</w:t>
      </w:r>
      <w:r>
        <w:rPr>
          <w:rFonts w:hint="default" w:ascii="Times New Roman" w:hAnsi="Times New Roman" w:eastAsia="方正仿宋_GBK" w:cs="Times New Roman"/>
          <w:sz w:val="32"/>
          <w:szCs w:val="32"/>
          <w:highlight w:val="none"/>
        </w:rPr>
        <w:t>一般公共预算基本支出预算表</w:t>
      </w:r>
    </w:p>
    <w:p>
      <w:pPr>
        <w:keepNext w:val="0"/>
        <w:keepLines w:val="0"/>
        <w:pageBreakBefore w:val="0"/>
        <w:widowControl w:val="0"/>
        <w:kinsoku/>
        <w:wordWrap/>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表7、</w:t>
      </w:r>
      <w:r>
        <w:rPr>
          <w:rFonts w:hint="eastAsia" w:ascii="Times New Roman" w:hAnsi="Times New Roman" w:eastAsia="方正仿宋_GBK" w:cs="Times New Roman"/>
          <w:sz w:val="32"/>
          <w:szCs w:val="32"/>
          <w:highlight w:val="none"/>
          <w:lang w:val="en-US" w:eastAsia="zh-CN"/>
        </w:rPr>
        <w:t>重庆市开州区长沙镇便民服务中心</w:t>
      </w:r>
      <w:r>
        <w:rPr>
          <w:rFonts w:hint="default" w:ascii="Times New Roman" w:hAnsi="Times New Roman" w:eastAsia="方正仿宋_GBK" w:cs="Times New Roman"/>
          <w:sz w:val="32"/>
          <w:szCs w:val="32"/>
          <w:highlight w:val="none"/>
        </w:rPr>
        <w:t>一般公共预算“三公”经费支出预算表</w:t>
      </w:r>
    </w:p>
    <w:p>
      <w:pPr>
        <w:keepNext w:val="0"/>
        <w:keepLines w:val="0"/>
        <w:pageBreakBefore w:val="0"/>
        <w:widowControl w:val="0"/>
        <w:kinsoku/>
        <w:wordWrap/>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表8、</w:t>
      </w:r>
      <w:r>
        <w:rPr>
          <w:rFonts w:hint="eastAsia" w:ascii="Times New Roman" w:hAnsi="Times New Roman" w:eastAsia="方正仿宋_GBK" w:cs="Times New Roman"/>
          <w:sz w:val="32"/>
          <w:szCs w:val="32"/>
          <w:highlight w:val="none"/>
          <w:lang w:val="en-US" w:eastAsia="zh-CN"/>
        </w:rPr>
        <w:t>重庆市开州区长沙镇便民服务中心</w:t>
      </w:r>
      <w:r>
        <w:rPr>
          <w:rFonts w:hint="default" w:ascii="Times New Roman" w:hAnsi="Times New Roman" w:eastAsia="方正仿宋_GBK" w:cs="Times New Roman"/>
          <w:sz w:val="32"/>
          <w:szCs w:val="32"/>
          <w:highlight w:val="none"/>
        </w:rPr>
        <w:t>政府性基金预算支出预算表</w:t>
      </w:r>
    </w:p>
    <w:p>
      <w:pPr>
        <w:keepNext w:val="0"/>
        <w:keepLines w:val="0"/>
        <w:pageBreakBefore w:val="0"/>
        <w:widowControl w:val="0"/>
        <w:kinsoku/>
        <w:wordWrap/>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表9、</w:t>
      </w:r>
      <w:r>
        <w:rPr>
          <w:rFonts w:hint="eastAsia" w:ascii="Times New Roman" w:hAnsi="Times New Roman" w:eastAsia="方正仿宋_GBK" w:cs="Times New Roman"/>
          <w:sz w:val="32"/>
          <w:szCs w:val="32"/>
          <w:highlight w:val="none"/>
          <w:lang w:val="en-US" w:eastAsia="zh-CN"/>
        </w:rPr>
        <w:t>重庆市开州区长沙镇便民服务中心</w:t>
      </w:r>
      <w:r>
        <w:rPr>
          <w:rFonts w:hint="default" w:ascii="Times New Roman" w:hAnsi="Times New Roman" w:eastAsia="方正仿宋_GBK" w:cs="Times New Roman"/>
          <w:sz w:val="32"/>
          <w:szCs w:val="32"/>
          <w:highlight w:val="none"/>
        </w:rPr>
        <w:t>国有资本经营预算支出预算表</w:t>
      </w:r>
    </w:p>
    <w:p>
      <w:pPr>
        <w:keepNext w:val="0"/>
        <w:keepLines w:val="0"/>
        <w:pageBreakBefore w:val="0"/>
        <w:widowControl w:val="0"/>
        <w:kinsoku/>
        <w:wordWrap/>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表10、</w:t>
      </w:r>
      <w:r>
        <w:rPr>
          <w:rFonts w:hint="eastAsia" w:ascii="Times New Roman" w:hAnsi="Times New Roman" w:eastAsia="方正仿宋_GBK" w:cs="Times New Roman"/>
          <w:sz w:val="32"/>
          <w:szCs w:val="32"/>
          <w:highlight w:val="none"/>
          <w:lang w:val="en-US" w:eastAsia="zh-CN"/>
        </w:rPr>
        <w:t>重庆市开州区长沙镇便民服务中心</w:t>
      </w:r>
      <w:r>
        <w:rPr>
          <w:rFonts w:hint="default" w:ascii="Times New Roman" w:hAnsi="Times New Roman" w:eastAsia="方正仿宋_GBK" w:cs="Times New Roman"/>
          <w:sz w:val="32"/>
          <w:szCs w:val="32"/>
          <w:highlight w:val="none"/>
        </w:rPr>
        <w:t>项目支出表</w:t>
      </w:r>
    </w:p>
    <w:p>
      <w:pPr>
        <w:keepNext w:val="0"/>
        <w:keepLines w:val="0"/>
        <w:pageBreakBefore w:val="0"/>
        <w:widowControl w:val="0"/>
        <w:kinsoku/>
        <w:wordWrap/>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表11、</w:t>
      </w:r>
      <w:r>
        <w:rPr>
          <w:rFonts w:hint="eastAsia" w:ascii="Times New Roman" w:hAnsi="Times New Roman" w:eastAsia="方正仿宋_GBK" w:cs="Times New Roman"/>
          <w:sz w:val="32"/>
          <w:szCs w:val="32"/>
          <w:highlight w:val="none"/>
          <w:lang w:val="en-US" w:eastAsia="zh-CN"/>
        </w:rPr>
        <w:t>重庆市开州区长沙镇便民服务中心</w:t>
      </w:r>
      <w:r>
        <w:rPr>
          <w:rFonts w:hint="default" w:ascii="Times New Roman" w:hAnsi="Times New Roman" w:eastAsia="方正仿宋_GBK" w:cs="Times New Roman"/>
          <w:sz w:val="32"/>
          <w:szCs w:val="32"/>
          <w:highlight w:val="none"/>
        </w:rPr>
        <w:t>项目绩效目标表</w:t>
      </w:r>
    </w:p>
    <w:p>
      <w:pPr>
        <w:keepNext w:val="0"/>
        <w:keepLines w:val="0"/>
        <w:pageBreakBefore w:val="0"/>
        <w:widowControl w:val="0"/>
        <w:kinsoku/>
        <w:wordWrap/>
        <w:topLinePunct w:val="0"/>
        <w:autoSpaceDE/>
        <w:autoSpaceDN/>
        <w:bidi w:val="0"/>
        <w:adjustRightInd/>
        <w:snapToGrid/>
        <w:spacing w:line="594" w:lineRule="exact"/>
        <w:textAlignment w:val="auto"/>
        <w:rPr>
          <w:rFonts w:hint="default" w:ascii="Times New Roman" w:hAnsi="Times New Roman" w:cs="Times New Roman"/>
          <w:highlight w:val="none"/>
        </w:rPr>
      </w:pPr>
    </w:p>
    <w:p>
      <w:pPr>
        <w:keepNext w:val="0"/>
        <w:keepLines w:val="0"/>
        <w:pageBreakBefore w:val="0"/>
        <w:widowControl w:val="0"/>
        <w:kinsoku/>
        <w:wordWrap/>
        <w:topLinePunct w:val="0"/>
        <w:autoSpaceDE/>
        <w:autoSpaceDN/>
        <w:bidi w:val="0"/>
        <w:adjustRightInd/>
        <w:snapToGrid/>
        <w:spacing w:line="594" w:lineRule="exact"/>
        <w:textAlignment w:val="auto"/>
        <w:rPr>
          <w:rFonts w:hint="default" w:ascii="Times New Roman" w:hAnsi="Times New Roman" w:cs="Times New Roman"/>
          <w:highlight w:val="none"/>
        </w:rPr>
      </w:pPr>
    </w:p>
    <w:p>
      <w:pPr>
        <w:keepNext w:val="0"/>
        <w:keepLines w:val="0"/>
        <w:pageBreakBefore w:val="0"/>
        <w:widowControl w:val="0"/>
        <w:kinsoku/>
        <w:wordWrap/>
        <w:topLinePunct w:val="0"/>
        <w:autoSpaceDE/>
        <w:autoSpaceDN/>
        <w:bidi w:val="0"/>
        <w:adjustRightInd/>
        <w:snapToGrid/>
        <w:spacing w:line="594" w:lineRule="exact"/>
        <w:textAlignment w:val="auto"/>
        <w:rPr>
          <w:rFonts w:hint="default" w:ascii="Times New Roman" w:hAnsi="Times New Roman" w:cs="Times New Roman"/>
          <w:highlight w:val="none"/>
        </w:rPr>
      </w:pPr>
    </w:p>
    <w:p>
      <w:pPr>
        <w:keepNext w:val="0"/>
        <w:keepLines w:val="0"/>
        <w:pageBreakBefore w:val="0"/>
        <w:widowControl w:val="0"/>
        <w:kinsoku/>
        <w:wordWrap/>
        <w:topLinePunct w:val="0"/>
        <w:autoSpaceDE/>
        <w:autoSpaceDN/>
        <w:bidi w:val="0"/>
        <w:adjustRightInd/>
        <w:snapToGrid/>
        <w:spacing w:line="594" w:lineRule="exact"/>
        <w:textAlignment w:val="auto"/>
        <w:rPr>
          <w:rFonts w:hint="default" w:ascii="Times New Roman" w:hAnsi="Times New Roman" w:cs="Times New Roman"/>
          <w:highlight w:val="none"/>
        </w:rPr>
      </w:pPr>
    </w:p>
    <w:p>
      <w:pPr>
        <w:keepNext w:val="0"/>
        <w:keepLines w:val="0"/>
        <w:pageBreakBefore w:val="0"/>
        <w:widowControl w:val="0"/>
        <w:kinsoku/>
        <w:wordWrap/>
        <w:topLinePunct w:val="0"/>
        <w:autoSpaceDE/>
        <w:autoSpaceDN/>
        <w:bidi w:val="0"/>
        <w:adjustRightInd/>
        <w:snapToGrid/>
        <w:spacing w:line="594" w:lineRule="exact"/>
        <w:textAlignment w:val="auto"/>
        <w:rPr>
          <w:rFonts w:hint="default" w:ascii="Times New Roman" w:hAnsi="Times New Roman" w:cs="Times New Roman"/>
          <w:highlight w:val="none"/>
        </w:rPr>
      </w:pPr>
    </w:p>
    <w:p>
      <w:pPr>
        <w:keepNext w:val="0"/>
        <w:keepLines w:val="0"/>
        <w:pageBreakBefore w:val="0"/>
        <w:widowControl w:val="0"/>
        <w:kinsoku/>
        <w:wordWrap/>
        <w:topLinePunct w:val="0"/>
        <w:autoSpaceDE/>
        <w:autoSpaceDN/>
        <w:bidi w:val="0"/>
        <w:adjustRightInd/>
        <w:snapToGrid/>
        <w:spacing w:line="594" w:lineRule="exact"/>
        <w:jc w:val="center"/>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br w:type="page"/>
      </w:r>
      <w:r>
        <w:rPr>
          <w:rFonts w:hint="default" w:ascii="Times New Roman" w:hAnsi="Times New Roman" w:eastAsia="方正小标宋_GBK" w:cs="Times New Roman"/>
          <w:sz w:val="44"/>
          <w:szCs w:val="44"/>
          <w:highlight w:val="none"/>
        </w:rPr>
        <w:t>第一部分：</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年部门预算情况说明</w:t>
      </w:r>
    </w:p>
    <w:p>
      <w:pPr>
        <w:keepNext w:val="0"/>
        <w:keepLines w:val="0"/>
        <w:pageBreakBefore w:val="0"/>
        <w:widowControl w:val="0"/>
        <w:kinsoku/>
        <w:wordWrap/>
        <w:topLinePunct w:val="0"/>
        <w:autoSpaceDE/>
        <w:autoSpaceDN/>
        <w:bidi w:val="0"/>
        <w:adjustRightInd/>
        <w:snapToGrid/>
        <w:spacing w:line="594" w:lineRule="exact"/>
        <w:ind w:firstLine="880" w:firstLineChars="200"/>
        <w:jc w:val="center"/>
        <w:textAlignment w:val="auto"/>
        <w:rPr>
          <w:rFonts w:hint="default" w:ascii="Times New Roman" w:hAnsi="Times New Roman" w:eastAsia="华文中宋" w:cs="Times New Roman"/>
          <w:sz w:val="44"/>
          <w:szCs w:val="44"/>
          <w:highlight w:val="none"/>
        </w:rPr>
      </w:pPr>
    </w:p>
    <w:p>
      <w:pPr>
        <w:keepNext w:val="0"/>
        <w:keepLines w:val="0"/>
        <w:pageBreakBefore w:val="0"/>
        <w:widowControl w:val="0"/>
        <w:kinsoku/>
        <w:wordWrap/>
        <w:topLinePunct w:val="0"/>
        <w:autoSpaceDE/>
        <w:autoSpaceDN/>
        <w:bidi w:val="0"/>
        <w:adjustRightInd/>
        <w:snapToGrid/>
        <w:spacing w:line="594" w:lineRule="exact"/>
        <w:ind w:left="64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一、单位基本情况</w:t>
      </w:r>
    </w:p>
    <w:p>
      <w:pPr>
        <w:keepNext w:val="0"/>
        <w:keepLines w:val="0"/>
        <w:pageBreakBefore w:val="0"/>
        <w:widowControl w:val="0"/>
        <w:kinsoku/>
        <w:wordWrap/>
        <w:topLinePunct w:val="0"/>
        <w:autoSpaceDE/>
        <w:autoSpaceDN/>
        <w:bidi w:val="0"/>
        <w:adjustRightInd/>
        <w:snapToGrid/>
        <w:spacing w:line="594" w:lineRule="exact"/>
        <w:ind w:firstLine="640" w:firstLineChars="200"/>
        <w:textAlignment w:val="auto"/>
        <w:rPr>
          <w:rFonts w:hint="default" w:ascii="Times New Roman" w:hAnsi="Times New Roman" w:eastAsia="方正楷体_GBK" w:cs="Times New Roman"/>
          <w:sz w:val="32"/>
          <w:highlight w:val="none"/>
        </w:rPr>
      </w:pPr>
      <w:r>
        <w:rPr>
          <w:rFonts w:hint="default" w:ascii="Times New Roman" w:hAnsi="Times New Roman" w:eastAsia="方正楷体_GBK" w:cs="Times New Roman"/>
          <w:sz w:val="32"/>
          <w:highlight w:val="none"/>
        </w:rPr>
        <w:t>（一）职能职责</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根据《中共重庆市开州区委机构编制委员会关于优化调整</w:t>
      </w:r>
      <w:r>
        <w:rPr>
          <w:rFonts w:hint="eastAsia" w:ascii="Times New Roman" w:hAnsi="Times New Roman" w:eastAsia="方正仿宋_GBK" w:cs="Times New Roman"/>
          <w:color w:val="auto"/>
          <w:sz w:val="32"/>
          <w:szCs w:val="32"/>
          <w:lang w:eastAsia="zh-CN"/>
        </w:rPr>
        <w:t>长沙</w:t>
      </w:r>
      <w:r>
        <w:rPr>
          <w:rFonts w:hint="default" w:ascii="Times New Roman" w:hAnsi="Times New Roman" w:eastAsia="方正仿宋_GBK" w:cs="Times New Roman"/>
          <w:color w:val="auto"/>
          <w:sz w:val="32"/>
          <w:szCs w:val="32"/>
          <w:lang w:eastAsia="zh-CN"/>
        </w:rPr>
        <w:t>镇</w:t>
      </w:r>
      <w:r>
        <w:rPr>
          <w:rFonts w:hint="default" w:ascii="Times New Roman" w:hAnsi="Times New Roman" w:eastAsia="方正仿宋_GBK" w:cs="Times New Roman"/>
          <w:color w:val="auto"/>
          <w:sz w:val="32"/>
          <w:szCs w:val="32"/>
        </w:rPr>
        <w:t>机构设置、职能配置和人员编制的通知》（开州委</w:t>
      </w:r>
      <w:r>
        <w:rPr>
          <w:rFonts w:hint="eastAsia" w:ascii="Times New Roman" w:hAnsi="Times New Roman" w:eastAsia="方正仿宋_GBK" w:cs="Times New Roman"/>
          <w:color w:val="auto"/>
          <w:sz w:val="32"/>
          <w:szCs w:val="32"/>
          <w:lang w:val="en-US" w:eastAsia="zh-CN"/>
        </w:rPr>
        <w:t>编</w:t>
      </w:r>
      <w:r>
        <w:rPr>
          <w:rFonts w:hint="default" w:ascii="Times New Roman" w:hAnsi="Times New Roman" w:eastAsia="方正仿宋_GBK" w:cs="Times New Roman"/>
          <w:color w:val="auto"/>
          <w:sz w:val="32"/>
          <w:szCs w:val="32"/>
        </w:rPr>
        <w:t>〔20</w:t>
      </w:r>
      <w:r>
        <w:rPr>
          <w:rFonts w:hint="eastAsia" w:ascii="Times New Roman" w:hAnsi="Times New Roman" w:eastAsia="方正仿宋_GBK" w:cs="Times New Roman"/>
          <w:color w:val="auto"/>
          <w:sz w:val="32"/>
          <w:szCs w:val="32"/>
          <w:lang w:val="en-US" w:eastAsia="zh-CN"/>
        </w:rPr>
        <w:t>24</w:t>
      </w:r>
      <w:r>
        <w:rPr>
          <w:rFonts w:hint="eastAsia"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val="en-US" w:eastAsia="zh-CN"/>
        </w:rPr>
        <w:t>71</w:t>
      </w:r>
      <w:r>
        <w:rPr>
          <w:rFonts w:hint="eastAsia" w:ascii="Times New Roman" w:hAnsi="Times New Roman" w:eastAsia="方正仿宋_GBK" w:cs="Times New Roman"/>
          <w:color w:val="auto"/>
          <w:sz w:val="32"/>
          <w:szCs w:val="32"/>
        </w:rPr>
        <w:t>号）文件，</w:t>
      </w:r>
      <w:r>
        <w:rPr>
          <w:rFonts w:hint="eastAsia" w:ascii="Times New Roman" w:hAnsi="Times New Roman" w:eastAsia="方正仿宋_GBK" w:cs="Times New Roman"/>
          <w:color w:val="auto"/>
          <w:sz w:val="32"/>
          <w:szCs w:val="32"/>
          <w:lang w:val="en-US" w:eastAsia="zh-CN"/>
        </w:rPr>
        <w:t>重庆市开州区长沙镇便民服务中心</w:t>
      </w:r>
      <w:r>
        <w:rPr>
          <w:rFonts w:hint="eastAsia" w:ascii="Times New Roman" w:hAnsi="Times New Roman" w:eastAsia="方正仿宋_GBK" w:cs="Times New Roman"/>
          <w:color w:val="auto"/>
          <w:sz w:val="32"/>
          <w:szCs w:val="32"/>
        </w:rPr>
        <w:t>职能职责是：</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rPr>
        <w:t>宗旨：为群众提供便捷精准高效服务。主要职责：对应承接民生服务办公室辅助性、事务性工作。负责政务服务、退役军人服务、公共资源交易服务、便民服务工作</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承担便民服务平台的建设、管理、维护等工作，推行便民服务标准化，指导村（社区）便民服务工作</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负责窗口人员监督管理和考核工作。</w:t>
      </w:r>
    </w:p>
    <w:p>
      <w:pPr>
        <w:pStyle w:val="30"/>
        <w:keepNext w:val="0"/>
        <w:keepLines w:val="0"/>
        <w:pageBreakBefore w:val="0"/>
        <w:widowControl w:val="0"/>
        <w:tabs>
          <w:tab w:val="center" w:pos="4153"/>
          <w:tab w:val="left" w:pos="7275"/>
        </w:tabs>
        <w:kinsoku/>
        <w:wordWrap/>
        <w:topLinePunct w:val="0"/>
        <w:autoSpaceDE/>
        <w:autoSpaceDN/>
        <w:bidi w:val="0"/>
        <w:adjustRightInd/>
        <w:snapToGrid/>
        <w:spacing w:line="594" w:lineRule="exact"/>
        <w:ind w:left="640" w:firstLine="0" w:firstLineChars="0"/>
        <w:jc w:val="left"/>
        <w:textAlignment w:val="auto"/>
        <w:rPr>
          <w:rFonts w:hint="default" w:ascii="Times New Roman" w:hAnsi="Times New Roman" w:eastAsia="方正楷体_GBK" w:cs="Times New Roman"/>
          <w:sz w:val="32"/>
          <w:highlight w:val="none"/>
        </w:rPr>
      </w:pPr>
      <w:r>
        <w:rPr>
          <w:rFonts w:hint="default" w:ascii="Times New Roman" w:hAnsi="Times New Roman" w:eastAsia="方正楷体_GBK" w:cs="Times New Roman"/>
          <w:sz w:val="32"/>
          <w:highlight w:val="none"/>
        </w:rPr>
        <w:t>（二）单位构成</w:t>
      </w:r>
    </w:p>
    <w:p>
      <w:pPr>
        <w:pStyle w:val="2"/>
        <w:keepNext w:val="0"/>
        <w:keepLines w:val="0"/>
        <w:pageBreakBefore w:val="0"/>
        <w:widowControl w:val="0"/>
        <w:kinsoku/>
        <w:wordWrap/>
        <w:topLinePunct w:val="0"/>
        <w:autoSpaceDE/>
        <w:autoSpaceDN/>
        <w:bidi w:val="0"/>
        <w:adjustRightInd/>
        <w:snapToGrid/>
        <w:spacing w:line="594" w:lineRule="exact"/>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长沙镇便民服务中心无内设科室。</w:t>
      </w:r>
    </w:p>
    <w:p>
      <w:pPr>
        <w:pStyle w:val="2"/>
        <w:keepNext w:val="0"/>
        <w:keepLines w:val="0"/>
        <w:pageBreakBefore w:val="0"/>
        <w:widowControl w:val="0"/>
        <w:kinsoku/>
        <w:wordWrap/>
        <w:topLinePunct w:val="0"/>
        <w:autoSpaceDE/>
        <w:autoSpaceDN/>
        <w:bidi w:val="0"/>
        <w:adjustRightInd/>
        <w:snapToGrid/>
        <w:spacing w:line="594" w:lineRule="exact"/>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从预算单位构成看，长沙</w:t>
      </w:r>
      <w:r>
        <w:rPr>
          <w:rFonts w:hint="eastAsia" w:ascii="Times New Roman" w:hAnsi="Times New Roman" w:eastAsia="方正仿宋_GBK" w:cs="Times New Roman"/>
          <w:color w:val="auto"/>
          <w:sz w:val="32"/>
          <w:szCs w:val="32"/>
          <w:lang w:val="en-US" w:eastAsia="zh-CN"/>
        </w:rPr>
        <w:t>镇便民服务中心</w:t>
      </w:r>
      <w:r>
        <w:rPr>
          <w:rFonts w:hint="eastAsia" w:ascii="Times New Roman" w:hAnsi="Times New Roman" w:eastAsia="方正仿宋_GBK" w:cs="Times New Roman"/>
          <w:color w:val="auto"/>
          <w:kern w:val="2"/>
          <w:sz w:val="32"/>
          <w:szCs w:val="32"/>
          <w:lang w:val="en-US" w:eastAsia="zh-CN" w:bidi="ar-SA"/>
        </w:rPr>
        <w:t>属于二级预算单位，主管部门为重庆市开州区长沙镇人民政府。</w:t>
      </w:r>
    </w:p>
    <w:p>
      <w:pPr>
        <w:keepNext w:val="0"/>
        <w:keepLines w:val="0"/>
        <w:pageBreakBefore w:val="0"/>
        <w:widowControl w:val="0"/>
        <w:kinsoku/>
        <w:wordWrap/>
        <w:topLinePunct w:val="0"/>
        <w:autoSpaceDE/>
        <w:autoSpaceDN/>
        <w:bidi w:val="0"/>
        <w:adjustRightInd/>
        <w:snapToGrid/>
        <w:spacing w:line="594" w:lineRule="exact"/>
        <w:ind w:left="640"/>
        <w:textAlignment w:val="auto"/>
        <w:rPr>
          <w:rFonts w:hint="default" w:ascii="Times New Roman" w:hAnsi="Times New Roman" w:eastAsia="方正仿宋_GBK" w:cs="Times New Roman"/>
          <w:sz w:val="32"/>
          <w:highlight w:val="none"/>
        </w:rPr>
      </w:pPr>
      <w:r>
        <w:rPr>
          <w:rFonts w:hint="default" w:ascii="Times New Roman" w:hAnsi="Times New Roman" w:eastAsia="方正黑体_GBK" w:cs="Times New Roman"/>
          <w:sz w:val="32"/>
          <w:highlight w:val="none"/>
        </w:rPr>
        <w:t>二、部门收支总体情况</w:t>
      </w:r>
    </w:p>
    <w:p>
      <w:pPr>
        <w:keepNext w:val="0"/>
        <w:keepLines w:val="0"/>
        <w:pageBreakBefore w:val="0"/>
        <w:widowControl w:val="0"/>
        <w:kinsoku/>
        <w:wordWrap/>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highlight w:val="none"/>
          <w:lang w:val="en-US" w:eastAsia="zh-CN"/>
        </w:rPr>
      </w:pPr>
      <w:r>
        <w:rPr>
          <w:rFonts w:hint="default" w:ascii="Times New Roman" w:hAnsi="Times New Roman" w:eastAsia="方正楷体_GBK" w:cs="Times New Roman"/>
          <w:sz w:val="32"/>
          <w:highlight w:val="none"/>
        </w:rPr>
        <w:t>（一）收入预算：</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年年初预算数</w:t>
      </w:r>
      <w:r>
        <w:rPr>
          <w:rFonts w:hint="eastAsia" w:ascii="Times New Roman" w:hAnsi="Times New Roman" w:eastAsia="方正仿宋_GBK" w:cs="Times New Roman"/>
          <w:sz w:val="32"/>
          <w:highlight w:val="none"/>
          <w:lang w:val="en-US" w:eastAsia="zh-CN"/>
        </w:rPr>
        <w:t>373.23</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万元，其中：一般公共预算拨款</w:t>
      </w:r>
      <w:r>
        <w:rPr>
          <w:rFonts w:hint="default" w:ascii="Times New Roman" w:hAnsi="Times New Roman" w:eastAsia="方正仿宋_GBK" w:cs="Times New Roman"/>
          <w:sz w:val="32"/>
          <w:highlight w:val="none"/>
          <w:lang w:eastAsia="zh-CN"/>
        </w:rPr>
        <w:t>收入</w:t>
      </w:r>
      <w:r>
        <w:rPr>
          <w:rFonts w:hint="eastAsia" w:ascii="Times New Roman" w:hAnsi="Times New Roman" w:eastAsia="方正仿宋_GBK" w:cs="Times New Roman"/>
          <w:sz w:val="32"/>
          <w:highlight w:val="none"/>
          <w:lang w:val="en-US" w:eastAsia="zh-CN"/>
        </w:rPr>
        <w:t>373.23</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万元，政府性基金预算拨款</w:t>
      </w:r>
      <w:r>
        <w:rPr>
          <w:rFonts w:hint="default" w:ascii="Times New Roman" w:hAnsi="Times New Roman" w:eastAsia="方正仿宋_GBK" w:cs="Times New Roman"/>
          <w:sz w:val="32"/>
          <w:highlight w:val="none"/>
          <w:lang w:eastAsia="zh-CN"/>
        </w:rPr>
        <w:t>收入</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万元，国有资本经营预算</w:t>
      </w:r>
      <w:r>
        <w:rPr>
          <w:rFonts w:hint="default" w:ascii="Times New Roman" w:hAnsi="Times New Roman" w:eastAsia="方正仿宋_GBK" w:cs="Times New Roman"/>
          <w:sz w:val="32"/>
          <w:highlight w:val="none"/>
          <w:lang w:eastAsia="zh-CN"/>
        </w:rPr>
        <w:t>拨款</w:t>
      </w:r>
      <w:r>
        <w:rPr>
          <w:rFonts w:hint="default" w:ascii="Times New Roman" w:hAnsi="Times New Roman" w:eastAsia="方正仿宋_GBK" w:cs="Times New Roman"/>
          <w:sz w:val="32"/>
          <w:highlight w:val="none"/>
        </w:rPr>
        <w:t>收入</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万元，事业收入</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万元，事业单位经营收入</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万元，其他收入</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万元。收入较</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w:t>
      </w:r>
      <w:r>
        <w:rPr>
          <w:rFonts w:hint="eastAsia" w:ascii="Times New Roman" w:hAnsi="Times New Roman" w:eastAsia="方正仿宋_GBK" w:cs="Times New Roman"/>
          <w:sz w:val="32"/>
          <w:highlight w:val="none"/>
          <w:lang w:val="en-US" w:eastAsia="zh-CN"/>
        </w:rPr>
        <w:t>增加373.23</w:t>
      </w:r>
      <w:r>
        <w:rPr>
          <w:rFonts w:hint="default" w:ascii="Times New Roman" w:hAnsi="Times New Roman" w:eastAsia="方正仿宋_GBK" w:cs="Times New Roman"/>
          <w:sz w:val="32"/>
          <w:highlight w:val="none"/>
        </w:rPr>
        <w:t>万元，主要</w:t>
      </w:r>
      <w:r>
        <w:rPr>
          <w:rFonts w:hint="eastAsia" w:ascii="Times New Roman" w:hAnsi="Times New Roman" w:eastAsia="方正仿宋_GBK" w:cs="Times New Roman"/>
          <w:sz w:val="32"/>
          <w:highlight w:val="none"/>
          <w:lang w:val="en-US" w:eastAsia="zh-CN"/>
        </w:rPr>
        <w:t>原因</w:t>
      </w:r>
      <w:r>
        <w:rPr>
          <w:rFonts w:hint="default" w:ascii="Times New Roman" w:hAnsi="Times New Roman" w:eastAsia="方正仿宋_GBK" w:cs="Times New Roman"/>
          <w:sz w:val="32"/>
          <w:highlight w:val="none"/>
        </w:rPr>
        <w:t>是</w:t>
      </w:r>
      <w:r>
        <w:rPr>
          <w:rFonts w:hint="eastAsia" w:ascii="Times New Roman" w:hAnsi="Times New Roman" w:eastAsia="方正仿宋_GBK" w:cs="Times New Roman"/>
          <w:sz w:val="32"/>
          <w:highlight w:val="none"/>
          <w:lang w:val="en-US" w:eastAsia="zh-CN"/>
        </w:rPr>
        <w:t>按照市财政要求，2025年长沙</w:t>
      </w:r>
      <w:r>
        <w:rPr>
          <w:rFonts w:hint="eastAsia" w:ascii="Times New Roman" w:hAnsi="Times New Roman" w:eastAsia="方正仿宋_GBK" w:cs="Times New Roman"/>
          <w:color w:val="auto"/>
          <w:kern w:val="2"/>
          <w:sz w:val="32"/>
          <w:szCs w:val="32"/>
          <w:lang w:val="en-US" w:eastAsia="zh-CN" w:bidi="ar-SA"/>
        </w:rPr>
        <w:t>镇便民服务中心未作为单独机构核算收入与支出。</w:t>
      </w:r>
    </w:p>
    <w:p>
      <w:pPr>
        <w:keepNext w:val="0"/>
        <w:keepLines w:val="0"/>
        <w:pageBreakBefore w:val="0"/>
        <w:widowControl w:val="0"/>
        <w:kinsoku/>
        <w:wordWrap/>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highlight w:val="none"/>
        </w:rPr>
        <w:t>（二）支出预算：</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年年初预算数</w:t>
      </w:r>
      <w:r>
        <w:rPr>
          <w:rFonts w:hint="eastAsia" w:ascii="Times New Roman" w:hAnsi="Times New Roman" w:eastAsia="方正仿宋_GBK" w:cs="Times New Roman"/>
          <w:sz w:val="32"/>
          <w:highlight w:val="none"/>
          <w:lang w:val="en-US" w:eastAsia="zh-CN"/>
        </w:rPr>
        <w:t>373.23</w:t>
      </w:r>
      <w:r>
        <w:rPr>
          <w:rFonts w:hint="default" w:ascii="Times New Roman" w:hAnsi="Times New Roman" w:eastAsia="方正仿宋_GBK" w:cs="Times New Roman"/>
          <w:sz w:val="32"/>
          <w:highlight w:val="none"/>
        </w:rPr>
        <w:t>万元，其中：</w:t>
      </w:r>
      <w:r>
        <w:rPr>
          <w:rFonts w:hint="eastAsia" w:ascii="Times New Roman" w:hAnsi="Times New Roman" w:eastAsia="方正仿宋_GBK" w:cs="Times New Roman"/>
          <w:sz w:val="32"/>
          <w:highlight w:val="none"/>
          <w:lang w:val="en-US" w:eastAsia="zh-CN"/>
        </w:rPr>
        <w:t>一般公共服务支出264.55万元，</w:t>
      </w:r>
      <w:r>
        <w:rPr>
          <w:rFonts w:eastAsia="方正仿宋_GBK"/>
          <w:bCs/>
          <w:sz w:val="32"/>
          <w:szCs w:val="32"/>
        </w:rPr>
        <w:t>社会保障和就业支出预算</w:t>
      </w:r>
      <w:r>
        <w:rPr>
          <w:rFonts w:hint="eastAsia" w:eastAsia="方正仿宋_GBK"/>
          <w:bCs/>
          <w:sz w:val="32"/>
          <w:szCs w:val="32"/>
          <w:lang w:val="en-US" w:eastAsia="zh-CN"/>
        </w:rPr>
        <w:t>73.74</w:t>
      </w:r>
      <w:r>
        <w:rPr>
          <w:rFonts w:eastAsia="方正仿宋_GBK"/>
          <w:bCs/>
          <w:sz w:val="32"/>
          <w:szCs w:val="32"/>
        </w:rPr>
        <w:t>万元，卫生健康支出预算</w:t>
      </w:r>
      <w:r>
        <w:rPr>
          <w:rFonts w:hint="eastAsia" w:eastAsia="方正仿宋_GBK"/>
          <w:bCs/>
          <w:sz w:val="32"/>
          <w:szCs w:val="32"/>
          <w:lang w:val="en-US" w:eastAsia="zh-CN"/>
        </w:rPr>
        <w:t>18.81</w:t>
      </w:r>
      <w:r>
        <w:rPr>
          <w:rFonts w:eastAsia="方正仿宋_GBK"/>
          <w:bCs/>
          <w:sz w:val="32"/>
          <w:szCs w:val="32"/>
        </w:rPr>
        <w:t>万元，住房保障支出预算</w:t>
      </w:r>
      <w:r>
        <w:rPr>
          <w:rFonts w:hint="eastAsia" w:eastAsia="方正仿宋_GBK"/>
          <w:bCs/>
          <w:sz w:val="32"/>
          <w:szCs w:val="32"/>
          <w:lang w:val="en-US" w:eastAsia="zh-CN"/>
        </w:rPr>
        <w:t>16.13</w:t>
      </w:r>
      <w:r>
        <w:rPr>
          <w:rFonts w:eastAsia="方正仿宋_GBK"/>
          <w:bCs/>
          <w:sz w:val="32"/>
          <w:szCs w:val="32"/>
        </w:rPr>
        <w:t>万元。支出预算较202</w:t>
      </w:r>
      <w:r>
        <w:rPr>
          <w:rFonts w:hint="eastAsia" w:eastAsia="方正仿宋_GBK"/>
          <w:bCs/>
          <w:sz w:val="32"/>
          <w:szCs w:val="32"/>
          <w:lang w:val="en-US" w:eastAsia="zh-CN"/>
        </w:rPr>
        <w:t>5</w:t>
      </w:r>
      <w:r>
        <w:rPr>
          <w:rFonts w:hint="default" w:ascii="Times New Roman" w:hAnsi="Times New Roman" w:eastAsia="方正仿宋_GBK" w:cs="Times New Roman"/>
          <w:sz w:val="32"/>
          <w:highlight w:val="none"/>
        </w:rPr>
        <w:t>年</w:t>
      </w:r>
      <w:r>
        <w:rPr>
          <w:rFonts w:hint="eastAsia" w:ascii="Times New Roman" w:hAnsi="Times New Roman" w:eastAsia="方正仿宋_GBK" w:cs="Times New Roman"/>
          <w:sz w:val="32"/>
          <w:highlight w:val="none"/>
          <w:lang w:val="en-US" w:eastAsia="zh-CN"/>
        </w:rPr>
        <w:t>增加373.23</w:t>
      </w:r>
      <w:r>
        <w:rPr>
          <w:rFonts w:hint="default" w:ascii="Times New Roman" w:hAnsi="Times New Roman" w:eastAsia="方正仿宋_GBK" w:cs="Times New Roman"/>
          <w:sz w:val="32"/>
          <w:highlight w:val="none"/>
        </w:rPr>
        <w:t>万元，主要</w:t>
      </w:r>
      <w:r>
        <w:rPr>
          <w:rFonts w:hint="eastAsia" w:ascii="Times New Roman" w:hAnsi="Times New Roman" w:eastAsia="方正仿宋_GBK" w:cs="Times New Roman"/>
          <w:sz w:val="32"/>
          <w:highlight w:val="none"/>
          <w:lang w:val="en-US" w:eastAsia="zh-CN"/>
        </w:rPr>
        <w:t>原因</w:t>
      </w:r>
      <w:r>
        <w:rPr>
          <w:rFonts w:hint="default" w:ascii="Times New Roman" w:hAnsi="Times New Roman" w:eastAsia="方正仿宋_GBK" w:cs="Times New Roman"/>
          <w:sz w:val="32"/>
          <w:highlight w:val="none"/>
        </w:rPr>
        <w:t>是</w:t>
      </w:r>
      <w:r>
        <w:rPr>
          <w:rFonts w:hint="eastAsia" w:ascii="Times New Roman" w:hAnsi="Times New Roman" w:eastAsia="方正仿宋_GBK" w:cs="Times New Roman"/>
          <w:sz w:val="32"/>
          <w:highlight w:val="none"/>
          <w:lang w:val="en-US" w:eastAsia="zh-CN"/>
        </w:rPr>
        <w:t>按照市财政要求，2025年长沙</w:t>
      </w:r>
      <w:r>
        <w:rPr>
          <w:rFonts w:hint="eastAsia" w:ascii="Times New Roman" w:hAnsi="Times New Roman" w:eastAsia="方正仿宋_GBK" w:cs="Times New Roman"/>
          <w:color w:val="auto"/>
          <w:kern w:val="2"/>
          <w:sz w:val="32"/>
          <w:szCs w:val="32"/>
          <w:lang w:val="en-US" w:eastAsia="zh-CN" w:bidi="ar-SA"/>
        </w:rPr>
        <w:t>镇便民服务中心未作为单独机构核算收入与支出。</w:t>
      </w:r>
    </w:p>
    <w:p>
      <w:pPr>
        <w:keepNext w:val="0"/>
        <w:keepLines w:val="0"/>
        <w:pageBreakBefore w:val="0"/>
        <w:widowControl w:val="0"/>
        <w:kinsoku/>
        <w:wordWrap/>
        <w:topLinePunct w:val="0"/>
        <w:autoSpaceDE/>
        <w:autoSpaceDN/>
        <w:bidi w:val="0"/>
        <w:adjustRightInd/>
        <w:snapToGrid/>
        <w:spacing w:line="594" w:lineRule="exact"/>
        <w:ind w:left="64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三、部门预算情况说明</w:t>
      </w:r>
    </w:p>
    <w:p>
      <w:pPr>
        <w:keepNext w:val="0"/>
        <w:keepLines w:val="0"/>
        <w:pageBreakBefore w:val="0"/>
        <w:widowControl w:val="0"/>
        <w:kinsoku/>
        <w:wordWrap/>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Times New Roman"/>
          <w:sz w:val="32"/>
          <w:highlight w:val="none"/>
          <w:lang w:val="en-US" w:eastAsia="zh-CN"/>
        </w:rPr>
      </w:pP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年一般公共预算财政拨款收入</w:t>
      </w:r>
      <w:r>
        <w:rPr>
          <w:rFonts w:hint="eastAsia" w:ascii="Times New Roman" w:hAnsi="Times New Roman" w:eastAsia="方正仿宋_GBK" w:cs="Times New Roman"/>
          <w:sz w:val="32"/>
          <w:highlight w:val="none"/>
          <w:lang w:val="en-US" w:eastAsia="zh-CN"/>
        </w:rPr>
        <w:t>373.23</w:t>
      </w:r>
      <w:r>
        <w:rPr>
          <w:rFonts w:hint="default" w:ascii="Times New Roman" w:hAnsi="Times New Roman" w:eastAsia="方正仿宋_GBK" w:cs="Times New Roman"/>
          <w:sz w:val="32"/>
          <w:highlight w:val="none"/>
        </w:rPr>
        <w:t>万元，一般公共预算财政拨款支出</w:t>
      </w:r>
      <w:r>
        <w:rPr>
          <w:rFonts w:hint="eastAsia" w:ascii="Times New Roman" w:hAnsi="Times New Roman" w:eastAsia="方正仿宋_GBK" w:cs="Times New Roman"/>
          <w:sz w:val="32"/>
          <w:highlight w:val="none"/>
          <w:lang w:val="en-US" w:eastAsia="zh-CN"/>
        </w:rPr>
        <w:t>373.23</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eastAsia" w:ascii="Times New Roman" w:hAnsi="Times New Roman" w:eastAsia="方正仿宋_GBK" w:cs="Times New Roman"/>
          <w:sz w:val="32"/>
          <w:highlight w:val="none"/>
          <w:lang w:val="en-US" w:eastAsia="zh-CN"/>
        </w:rPr>
        <w:t>373.23</w:t>
      </w:r>
      <w:r>
        <w:rPr>
          <w:rFonts w:hint="default" w:ascii="Times New Roman" w:hAnsi="Times New Roman" w:eastAsia="方正仿宋_GBK" w:cs="Times New Roman"/>
          <w:sz w:val="32"/>
          <w:highlight w:val="none"/>
        </w:rPr>
        <w:t xml:space="preserve">万元。其中：基本支出 </w:t>
      </w:r>
      <w:r>
        <w:rPr>
          <w:rFonts w:hint="eastAsia" w:ascii="Times New Roman" w:hAnsi="Times New Roman" w:eastAsia="方正仿宋_GBK" w:cs="Times New Roman"/>
          <w:sz w:val="32"/>
          <w:highlight w:val="none"/>
          <w:lang w:val="en-US" w:eastAsia="zh-CN"/>
        </w:rPr>
        <w:t>373.23</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w:t>
      </w:r>
      <w:r>
        <w:rPr>
          <w:rFonts w:hint="eastAsia" w:ascii="Times New Roman" w:hAnsi="Times New Roman" w:eastAsia="方正仿宋_GBK" w:cs="Times New Roman"/>
          <w:sz w:val="32"/>
          <w:highlight w:val="none"/>
          <w:lang w:val="en-US" w:eastAsia="zh-CN"/>
        </w:rPr>
        <w:t>增加373.23</w:t>
      </w:r>
      <w:r>
        <w:rPr>
          <w:rFonts w:hint="default" w:ascii="Times New Roman" w:hAnsi="Times New Roman" w:eastAsia="方正仿宋_GBK" w:cs="Times New Roman"/>
          <w:sz w:val="32"/>
          <w:highlight w:val="none"/>
        </w:rPr>
        <w:t>万元，主要原因是</w:t>
      </w:r>
      <w:r>
        <w:rPr>
          <w:rFonts w:hint="eastAsia" w:ascii="Times New Roman" w:hAnsi="Times New Roman" w:eastAsia="方正仿宋_GBK" w:cs="Times New Roman"/>
          <w:sz w:val="32"/>
          <w:highlight w:val="none"/>
          <w:lang w:val="en-US" w:eastAsia="zh-CN"/>
        </w:rPr>
        <w:t>按照市财政要求，2025年长沙</w:t>
      </w:r>
      <w:r>
        <w:rPr>
          <w:rFonts w:hint="eastAsia" w:ascii="Times New Roman" w:hAnsi="Times New Roman" w:eastAsia="方正仿宋_GBK" w:cs="Times New Roman"/>
          <w:color w:val="auto"/>
          <w:kern w:val="2"/>
          <w:sz w:val="32"/>
          <w:szCs w:val="32"/>
          <w:lang w:val="en-US" w:eastAsia="zh-CN" w:bidi="ar-SA"/>
        </w:rPr>
        <w:t>镇便民服务中心未作为单独机构核算收入与支出，</w:t>
      </w:r>
      <w:r>
        <w:rPr>
          <w:rFonts w:hint="default" w:ascii="Times New Roman" w:hAnsi="Times New Roman" w:eastAsia="方正仿宋_GBK" w:cs="Times New Roman"/>
          <w:sz w:val="32"/>
          <w:highlight w:val="none"/>
        </w:rPr>
        <w:t>主要用于保障在职人员工资福利及社会保险缴费，离休人员离休费，退休人员补助等，保障部门正常运转的各项商品服务支出；项目支出</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r>
        <w:rPr>
          <w:rFonts w:hint="eastAsia" w:ascii="Times New Roman" w:hAnsi="Times New Roman" w:eastAsia="方正仿宋_GBK" w:cs="Times New Roman"/>
          <w:sz w:val="32"/>
          <w:highlight w:val="none"/>
          <w:lang w:eastAsia="zh-CN"/>
        </w:rPr>
        <w:t>。</w:t>
      </w:r>
    </w:p>
    <w:p>
      <w:pPr>
        <w:keepNext w:val="0"/>
        <w:keepLines w:val="0"/>
        <w:pageBreakBefore w:val="0"/>
        <w:widowControl w:val="0"/>
        <w:kinsoku/>
        <w:wordWrap/>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Times New Roman"/>
          <w:sz w:val="32"/>
          <w:highlight w:val="none"/>
          <w:lang w:eastAsia="zh-CN"/>
        </w:rPr>
      </w:pPr>
      <w:r>
        <w:rPr>
          <w:rFonts w:hint="eastAsia" w:ascii="Times New Roman" w:hAnsi="Times New Roman" w:eastAsia="方正仿宋_GBK" w:cs="Times New Roman"/>
          <w:sz w:val="32"/>
          <w:highlight w:val="none"/>
          <w:lang w:val="en-US" w:eastAsia="zh-CN"/>
        </w:rPr>
        <w:t>长沙镇便民服务中心</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w:t>
      </w:r>
      <w:r>
        <w:rPr>
          <w:rFonts w:hint="eastAsia" w:ascii="Times New Roman" w:hAnsi="Times New Roman" w:eastAsia="方正仿宋_GBK" w:cs="Times New Roman"/>
          <w:sz w:val="32"/>
          <w:highlight w:val="none"/>
          <w:lang w:val="en-US" w:eastAsia="zh-CN"/>
        </w:rPr>
        <w:t>预算无使用</w:t>
      </w:r>
      <w:r>
        <w:rPr>
          <w:rFonts w:hint="default" w:ascii="Times New Roman" w:hAnsi="Times New Roman" w:eastAsia="方正仿宋_GBK" w:cs="Times New Roman"/>
          <w:sz w:val="32"/>
          <w:highlight w:val="none"/>
        </w:rPr>
        <w:t>政府性基金预算拨款</w:t>
      </w:r>
      <w:r>
        <w:rPr>
          <w:rFonts w:hint="eastAsia" w:ascii="Times New Roman" w:hAnsi="Times New Roman" w:eastAsia="方正仿宋_GBK" w:cs="Times New Roman"/>
          <w:sz w:val="32"/>
          <w:highlight w:val="none"/>
          <w:lang w:val="en-US" w:eastAsia="zh-CN"/>
        </w:rPr>
        <w:t>安排</w:t>
      </w:r>
      <w:r>
        <w:rPr>
          <w:rFonts w:hint="default" w:ascii="Times New Roman" w:hAnsi="Times New Roman" w:eastAsia="方正仿宋_GBK" w:cs="Times New Roman"/>
          <w:sz w:val="32"/>
          <w:highlight w:val="none"/>
        </w:rPr>
        <w:t>的支出</w:t>
      </w:r>
      <w:r>
        <w:rPr>
          <w:rFonts w:hint="eastAsia" w:ascii="Times New Roman" w:hAnsi="Times New Roman" w:eastAsia="方正仿宋_GBK" w:cs="Times New Roman"/>
          <w:sz w:val="32"/>
          <w:highlight w:val="none"/>
          <w:lang w:eastAsia="zh-CN"/>
        </w:rPr>
        <w:t>。</w:t>
      </w:r>
    </w:p>
    <w:p>
      <w:pPr>
        <w:keepNext w:val="0"/>
        <w:keepLines w:val="0"/>
        <w:pageBreakBefore w:val="0"/>
        <w:widowControl w:val="0"/>
        <w:kinsoku/>
        <w:wordWrap/>
        <w:topLinePunct w:val="0"/>
        <w:autoSpaceDE/>
        <w:autoSpaceDN/>
        <w:bidi w:val="0"/>
        <w:adjustRightInd/>
        <w:snapToGrid/>
        <w:spacing w:line="594" w:lineRule="exact"/>
        <w:ind w:left="640"/>
        <w:textAlignment w:val="auto"/>
        <w:rPr>
          <w:rFonts w:hint="default" w:ascii="Times New Roman" w:hAnsi="Times New Roman" w:eastAsia="方正仿宋_GBK" w:cs="Times New Roman"/>
          <w:sz w:val="32"/>
          <w:highlight w:val="none"/>
        </w:rPr>
      </w:pPr>
      <w:r>
        <w:rPr>
          <w:rFonts w:hint="default" w:ascii="Times New Roman" w:hAnsi="Times New Roman" w:eastAsia="方正黑体_GBK" w:cs="Times New Roman"/>
          <w:sz w:val="32"/>
          <w:highlight w:val="none"/>
        </w:rPr>
        <w:t>四、“三公”经费情况说明</w:t>
      </w:r>
    </w:p>
    <w:p>
      <w:pPr>
        <w:keepNext w:val="0"/>
        <w:keepLines w:val="0"/>
        <w:pageBreakBefore w:val="0"/>
        <w:widowControl w:val="0"/>
        <w:kinsoku/>
        <w:wordWrap/>
        <w:topLinePunct w:val="0"/>
        <w:autoSpaceDE/>
        <w:autoSpaceDN/>
        <w:bidi w:val="0"/>
        <w:adjustRightInd/>
        <w:snapToGrid/>
        <w:spacing w:line="594" w:lineRule="exact"/>
        <w:ind w:firstLine="600"/>
        <w:textAlignment w:val="auto"/>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年“三公”经费预算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w:t>
      </w:r>
      <w:r>
        <w:rPr>
          <w:rFonts w:hint="eastAsia" w:ascii="Times New Roman" w:hAnsi="Times New Roman" w:eastAsia="方正仿宋_GBK" w:cs="Times New Roman"/>
          <w:sz w:val="32"/>
          <w:highlight w:val="none"/>
          <w:lang w:val="en-US" w:eastAsia="zh-CN"/>
        </w:rPr>
        <w:t>相比无变化</w:t>
      </w:r>
      <w:r>
        <w:rPr>
          <w:rFonts w:hint="default" w:ascii="Times New Roman" w:hAnsi="Times New Roman" w:eastAsia="方正仿宋_GBK" w:cs="Times New Roman"/>
          <w:sz w:val="32"/>
          <w:highlight w:val="none"/>
        </w:rPr>
        <w:t>。其中：因公出国（境）费用</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bCs/>
          <w:sz w:val="32"/>
          <w:szCs w:val="32"/>
        </w:rPr>
        <w:t>与202</w:t>
      </w:r>
      <w:r>
        <w:rPr>
          <w:rFonts w:hint="eastAsia" w:ascii="Times New Roman" w:hAnsi="Times New Roman" w:eastAsia="方正仿宋_GBK" w:cs="Times New Roman"/>
          <w:bCs/>
          <w:sz w:val="32"/>
          <w:szCs w:val="32"/>
          <w:lang w:val="en-US" w:eastAsia="zh-CN"/>
        </w:rPr>
        <w:t>5</w:t>
      </w:r>
      <w:r>
        <w:rPr>
          <w:rFonts w:hint="default" w:ascii="Times New Roman" w:hAnsi="Times New Roman" w:eastAsia="方正仿宋_GBK" w:cs="Times New Roman"/>
          <w:bCs/>
          <w:sz w:val="32"/>
          <w:szCs w:val="32"/>
        </w:rPr>
        <w:t>年比较无变化；</w:t>
      </w:r>
      <w:r>
        <w:rPr>
          <w:rFonts w:hint="default" w:ascii="Times New Roman" w:hAnsi="Times New Roman" w:eastAsia="方正仿宋_GBK" w:cs="Times New Roman"/>
          <w:sz w:val="32"/>
          <w:highlight w:val="none"/>
        </w:rPr>
        <w:t>公务接待费</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bCs/>
          <w:sz w:val="32"/>
          <w:szCs w:val="32"/>
        </w:rPr>
        <w:t>与202</w:t>
      </w:r>
      <w:r>
        <w:rPr>
          <w:rFonts w:hint="eastAsia" w:ascii="Times New Roman" w:hAnsi="Times New Roman" w:eastAsia="方正仿宋_GBK" w:cs="Times New Roman"/>
          <w:bCs/>
          <w:sz w:val="32"/>
          <w:szCs w:val="32"/>
          <w:lang w:val="en-US" w:eastAsia="zh-CN"/>
        </w:rPr>
        <w:t>5</w:t>
      </w:r>
      <w:r>
        <w:rPr>
          <w:rFonts w:hint="default" w:ascii="Times New Roman" w:hAnsi="Times New Roman" w:eastAsia="方正仿宋_GBK" w:cs="Times New Roman"/>
          <w:bCs/>
          <w:sz w:val="32"/>
          <w:szCs w:val="32"/>
        </w:rPr>
        <w:t>年比较无变化</w:t>
      </w:r>
      <w:r>
        <w:rPr>
          <w:rFonts w:hint="default" w:ascii="Times New Roman" w:hAnsi="Times New Roman" w:eastAsia="方正仿宋_GBK" w:cs="Times New Roman"/>
          <w:sz w:val="32"/>
          <w:highlight w:val="none"/>
        </w:rPr>
        <w:t>；公务用车运行维护费</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bCs/>
          <w:sz w:val="32"/>
          <w:szCs w:val="32"/>
        </w:rPr>
        <w:t>与202</w:t>
      </w:r>
      <w:r>
        <w:rPr>
          <w:rFonts w:hint="eastAsia" w:ascii="Times New Roman" w:hAnsi="Times New Roman" w:eastAsia="方正仿宋_GBK" w:cs="Times New Roman"/>
          <w:bCs/>
          <w:sz w:val="32"/>
          <w:szCs w:val="32"/>
          <w:lang w:val="en-US" w:eastAsia="zh-CN"/>
        </w:rPr>
        <w:t>5</w:t>
      </w:r>
      <w:r>
        <w:rPr>
          <w:rFonts w:hint="default" w:ascii="Times New Roman" w:hAnsi="Times New Roman" w:eastAsia="方正仿宋_GBK" w:cs="Times New Roman"/>
          <w:bCs/>
          <w:sz w:val="32"/>
          <w:szCs w:val="32"/>
        </w:rPr>
        <w:t>年比较无变化</w:t>
      </w:r>
      <w:r>
        <w:rPr>
          <w:rFonts w:hint="default" w:ascii="Times New Roman" w:hAnsi="Times New Roman" w:eastAsia="方正仿宋_GBK" w:cs="Times New Roman"/>
          <w:sz w:val="32"/>
          <w:highlight w:val="none"/>
        </w:rPr>
        <w:t>；公务用车购置费</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bCs/>
          <w:sz w:val="32"/>
          <w:szCs w:val="32"/>
        </w:rPr>
        <w:t>与202</w:t>
      </w:r>
      <w:r>
        <w:rPr>
          <w:rFonts w:hint="eastAsia" w:ascii="Times New Roman" w:hAnsi="Times New Roman" w:eastAsia="方正仿宋_GBK" w:cs="Times New Roman"/>
          <w:bCs/>
          <w:sz w:val="32"/>
          <w:szCs w:val="32"/>
          <w:lang w:val="en-US" w:eastAsia="zh-CN"/>
        </w:rPr>
        <w:t>5</w:t>
      </w:r>
      <w:r>
        <w:rPr>
          <w:rFonts w:hint="default" w:ascii="Times New Roman" w:hAnsi="Times New Roman" w:eastAsia="方正仿宋_GBK" w:cs="Times New Roman"/>
          <w:bCs/>
          <w:sz w:val="32"/>
          <w:szCs w:val="32"/>
        </w:rPr>
        <w:t>年比较无变化</w:t>
      </w:r>
      <w:r>
        <w:rPr>
          <w:rFonts w:hint="default" w:ascii="Times New Roman" w:hAnsi="Times New Roman" w:eastAsia="方正仿宋_GBK" w:cs="Times New Roman"/>
          <w:sz w:val="32"/>
          <w:highlight w:val="none"/>
        </w:rPr>
        <w:t>。</w:t>
      </w:r>
    </w:p>
    <w:p>
      <w:pPr>
        <w:keepNext w:val="0"/>
        <w:keepLines w:val="0"/>
        <w:pageBreakBefore w:val="0"/>
        <w:widowControl w:val="0"/>
        <w:kinsoku/>
        <w:wordWrap/>
        <w:topLinePunct w:val="0"/>
        <w:autoSpaceDE/>
        <w:autoSpaceDN/>
        <w:bidi w:val="0"/>
        <w:adjustRightInd/>
        <w:snapToGrid/>
        <w:spacing w:line="594" w:lineRule="exact"/>
        <w:ind w:left="64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五、其他重要事项的情况说明</w:t>
      </w:r>
    </w:p>
    <w:p>
      <w:pPr>
        <w:keepNext w:val="0"/>
        <w:keepLines w:val="0"/>
        <w:pageBreakBefore w:val="0"/>
        <w:widowControl w:val="0"/>
        <w:kinsoku/>
        <w:wordWrap/>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highlight w:val="none"/>
        </w:rPr>
      </w:pPr>
      <w:r>
        <w:rPr>
          <w:rFonts w:hint="eastAsia" w:ascii="方正楷体_GBK" w:hAnsi="方正楷体_GBK" w:eastAsia="方正楷体_GBK" w:cs="方正楷体_GBK"/>
          <w:sz w:val="32"/>
          <w:szCs w:val="32"/>
          <w:highlight w:val="none"/>
        </w:rPr>
        <w:t>（一）</w:t>
      </w:r>
      <w:r>
        <w:rPr>
          <w:rFonts w:hint="eastAsia" w:ascii="方正楷体_GBK" w:hAnsi="方正楷体_GBK" w:eastAsia="方正楷体_GBK" w:cs="方正楷体_GBK"/>
          <w:sz w:val="32"/>
          <w:highlight w:val="none"/>
        </w:rPr>
        <w:t>机关运行经费。</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年一般公共预算财政拨款运行经费</w:t>
      </w:r>
      <w:r>
        <w:rPr>
          <w:rFonts w:hint="eastAsia" w:ascii="Times New Roman" w:hAnsi="Times New Roman" w:eastAsia="方正仿宋_GBK" w:cs="Times New Roman"/>
          <w:sz w:val="32"/>
          <w:highlight w:val="none"/>
          <w:lang w:val="en-US" w:eastAsia="zh-CN"/>
        </w:rPr>
        <w:t>36.25</w:t>
      </w:r>
      <w:r>
        <w:rPr>
          <w:rFonts w:hint="default" w:ascii="Times New Roman" w:hAnsi="Times New Roman" w:eastAsia="方正仿宋_GBK" w:cs="Times New Roman"/>
          <w:sz w:val="32"/>
          <w:highlight w:val="none"/>
        </w:rPr>
        <w:t>万元，比上年</w:t>
      </w:r>
      <w:r>
        <w:rPr>
          <w:rFonts w:hint="eastAsia" w:ascii="Times New Roman" w:hAnsi="Times New Roman" w:eastAsia="方正仿宋_GBK" w:cs="Times New Roman"/>
          <w:sz w:val="32"/>
          <w:highlight w:val="none"/>
          <w:lang w:val="en-US" w:eastAsia="zh-CN"/>
        </w:rPr>
        <w:t>增加36.25</w:t>
      </w:r>
      <w:r>
        <w:rPr>
          <w:rFonts w:hint="default" w:ascii="Times New Roman" w:hAnsi="Times New Roman" w:eastAsia="方正仿宋_GBK" w:cs="Times New Roman"/>
          <w:sz w:val="32"/>
          <w:highlight w:val="none"/>
        </w:rPr>
        <w:t>万元，主要原因</w:t>
      </w:r>
      <w:r>
        <w:rPr>
          <w:rFonts w:hint="eastAsia" w:ascii="Times New Roman" w:hAnsi="Times New Roman" w:eastAsia="方正仿宋_GBK" w:cs="Times New Roman"/>
          <w:sz w:val="32"/>
          <w:highlight w:val="none"/>
          <w:lang w:val="en-US" w:eastAsia="zh-CN"/>
        </w:rPr>
        <w:t>按照市财政要求，2025年长沙</w:t>
      </w:r>
      <w:r>
        <w:rPr>
          <w:rFonts w:hint="eastAsia" w:ascii="Times New Roman" w:hAnsi="Times New Roman" w:eastAsia="方正仿宋_GBK" w:cs="Times New Roman"/>
          <w:color w:val="auto"/>
          <w:kern w:val="2"/>
          <w:sz w:val="32"/>
          <w:szCs w:val="32"/>
          <w:lang w:val="en-US" w:eastAsia="zh-CN" w:bidi="ar-SA"/>
        </w:rPr>
        <w:t>镇便民服务中心未作为单独机构核算收入与支出。</w:t>
      </w:r>
      <w:r>
        <w:rPr>
          <w:rFonts w:hint="default" w:ascii="Times New Roman" w:hAnsi="Times New Roman" w:eastAsia="方正仿宋_GBK" w:cs="Times New Roman"/>
          <w:sz w:val="32"/>
          <w:highlight w:val="none"/>
        </w:rPr>
        <w:t>主要用于办公费、印刷费、邮电费、水电费、物管费、差旅费、会议费、培训费及其他商品和服务支出等。</w:t>
      </w:r>
    </w:p>
    <w:p>
      <w:pPr>
        <w:keepNext w:val="0"/>
        <w:keepLines w:val="0"/>
        <w:pageBreakBefore w:val="0"/>
        <w:widowControl w:val="0"/>
        <w:kinsoku/>
        <w:wordWrap/>
        <w:topLinePunct w:val="0"/>
        <w:autoSpaceDE/>
        <w:autoSpaceDN/>
        <w:bidi w:val="0"/>
        <w:adjustRightInd/>
        <w:snapToGrid/>
        <w:spacing w:line="594" w:lineRule="exact"/>
        <w:ind w:firstLine="640" w:firstLineChars="200"/>
        <w:textAlignment w:val="auto"/>
        <w:rPr>
          <w:rFonts w:ascii="微软雅黑" w:hAnsi="微软雅黑" w:eastAsia="微软雅黑" w:cs="微软雅黑"/>
          <w:i w:val="0"/>
          <w:iCs w:val="0"/>
          <w:caps w:val="0"/>
          <w:color w:val="000000"/>
          <w:spacing w:val="0"/>
          <w:sz w:val="27"/>
          <w:szCs w:val="27"/>
        </w:rPr>
      </w:pPr>
      <w:r>
        <w:rPr>
          <w:rFonts w:hint="default" w:ascii="方正楷体_GBK" w:hAnsi="方正楷体_GBK" w:eastAsia="方正楷体_GBK" w:cs="方正楷体_GBK"/>
          <w:sz w:val="32"/>
          <w:szCs w:val="32"/>
          <w:highlight w:val="none"/>
        </w:rPr>
        <w:t>（二）政府采购情况。</w:t>
      </w:r>
      <w:r>
        <w:rPr>
          <w:rFonts w:hint="default" w:ascii="Times New Roman" w:hAnsi="Times New Roman" w:eastAsia="方正仿宋_GBK" w:cs="Times New Roman"/>
          <w:sz w:val="32"/>
          <w:highlight w:val="none"/>
        </w:rPr>
        <w:t>所属预算单位政府采购预算总额0万元。</w:t>
      </w:r>
    </w:p>
    <w:p>
      <w:pPr>
        <w:keepNext w:val="0"/>
        <w:keepLines w:val="0"/>
        <w:pageBreakBefore w:val="0"/>
        <w:widowControl w:val="0"/>
        <w:kinsoku/>
        <w:wordWrap/>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highlight w:val="none"/>
        </w:rPr>
      </w:pPr>
      <w:r>
        <w:rPr>
          <w:rFonts w:hint="default" w:ascii="方正楷体_GBK" w:hAnsi="方正楷体_GBK" w:eastAsia="方正楷体_GBK" w:cs="方正楷体_GBK"/>
          <w:sz w:val="32"/>
          <w:szCs w:val="32"/>
          <w:highlight w:val="none"/>
        </w:rPr>
        <w:t>（三）绩效目标设置情况。</w:t>
      </w:r>
      <w:r>
        <w:rPr>
          <w:rFonts w:hint="default" w:ascii="Times New Roman" w:hAnsi="Times New Roman" w:eastAsia="方正仿宋_GBK" w:cs="Times New Roman"/>
          <w:sz w:val="32"/>
          <w:highlight w:val="none"/>
        </w:rPr>
        <w:t>本部门202</w:t>
      </w:r>
      <w:r>
        <w:rPr>
          <w:rFonts w:hint="eastAsia" w:ascii="Times New Roman" w:hAnsi="Times New Roman" w:eastAsia="方正仿宋_GBK" w:cs="Times New Roman"/>
          <w:sz w:val="32"/>
          <w:highlight w:val="none"/>
          <w:lang w:val="en-US" w:eastAsia="zh-CN"/>
        </w:rPr>
        <w:t>6</w:t>
      </w:r>
      <w:r>
        <w:rPr>
          <w:rFonts w:hint="default" w:ascii="Times New Roman" w:hAnsi="Times New Roman" w:eastAsia="方正仿宋_GBK" w:cs="Times New Roman"/>
          <w:sz w:val="32"/>
          <w:highlight w:val="none"/>
        </w:rPr>
        <w:t>年无项目支出，故未设置绩效目标。</w:t>
      </w:r>
    </w:p>
    <w:p>
      <w:pPr>
        <w:keepNext w:val="0"/>
        <w:keepLines w:val="0"/>
        <w:pageBreakBefore w:val="0"/>
        <w:widowControl w:val="0"/>
        <w:kinsoku/>
        <w:wordWrap/>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000000"/>
          <w:sz w:val="32"/>
          <w:highlight w:val="none"/>
        </w:rPr>
      </w:pPr>
      <w:r>
        <w:rPr>
          <w:rFonts w:hint="default" w:ascii="方正楷体_GBK" w:hAnsi="方正楷体_GBK" w:eastAsia="方正楷体_GBK" w:cs="方正楷体_GBK"/>
          <w:sz w:val="32"/>
          <w:szCs w:val="32"/>
          <w:highlight w:val="none"/>
        </w:rPr>
        <w:t>（四）国有资产占有使用情况。</w:t>
      </w:r>
      <w:r>
        <w:rPr>
          <w:rFonts w:hint="default" w:ascii="Times New Roman" w:hAnsi="Times New Roman" w:eastAsia="方正仿宋_GBK" w:cs="Times New Roman"/>
          <w:color w:val="000000"/>
          <w:sz w:val="32"/>
          <w:highlight w:val="none"/>
        </w:rPr>
        <w:t>截</w:t>
      </w:r>
      <w:r>
        <w:rPr>
          <w:rFonts w:hint="default" w:ascii="Times New Roman" w:hAnsi="Times New Roman" w:eastAsia="方正仿宋_GBK" w:cs="Times New Roman"/>
          <w:color w:val="000000"/>
          <w:sz w:val="32"/>
          <w:highlight w:val="none"/>
          <w:lang w:eastAsia="zh-CN"/>
        </w:rPr>
        <w:t>至</w:t>
      </w:r>
      <w:r>
        <w:rPr>
          <w:rFonts w:hint="default" w:ascii="Times New Roman" w:hAnsi="Times New Roman" w:eastAsia="方正仿宋_GBK" w:cs="Times New Roman"/>
          <w:color w:val="000000"/>
          <w:sz w:val="32"/>
          <w:highlight w:val="none"/>
          <w:lang w:val="en-US" w:eastAsia="zh-CN"/>
        </w:rPr>
        <w:t>2025</w:t>
      </w:r>
      <w:r>
        <w:rPr>
          <w:rFonts w:hint="default" w:ascii="Times New Roman" w:hAnsi="Times New Roman" w:eastAsia="方正仿宋_GBK" w:cs="Times New Roman"/>
          <w:color w:val="000000"/>
          <w:sz w:val="32"/>
          <w:highlight w:val="none"/>
        </w:rPr>
        <w:t>年12月，所属预算单位共有车辆</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辆，其中一般公务用车</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辆、执勤执法用车</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w:t>
      </w:r>
      <w:r>
        <w:rPr>
          <w:rFonts w:hint="default" w:ascii="Times New Roman" w:hAnsi="Times New Roman" w:eastAsia="方正仿宋_GBK" w:cs="Times New Roman"/>
          <w:color w:val="000000"/>
          <w:sz w:val="32"/>
          <w:highlight w:val="none"/>
          <w:lang w:val="en-US" w:eastAsia="zh-CN"/>
        </w:rPr>
        <w:t>2026</w:t>
      </w:r>
      <w:r>
        <w:rPr>
          <w:rFonts w:hint="default" w:ascii="Times New Roman" w:hAnsi="Times New Roman" w:eastAsia="方正仿宋_GBK" w:cs="Times New Roman"/>
          <w:color w:val="000000"/>
          <w:sz w:val="32"/>
          <w:highlight w:val="none"/>
        </w:rPr>
        <w:t>年一般公共预算安排购置车辆</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辆，其中一般公务用车</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辆、执勤执法用车</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w:t>
      </w:r>
    </w:p>
    <w:p>
      <w:pPr>
        <w:keepNext w:val="0"/>
        <w:keepLines w:val="0"/>
        <w:pageBreakBefore w:val="0"/>
        <w:widowControl w:val="0"/>
        <w:kinsoku/>
        <w:wordWrap/>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六、专业性名词解释</w:t>
      </w:r>
    </w:p>
    <w:p>
      <w:pPr>
        <w:pStyle w:val="30"/>
        <w:keepNext w:val="0"/>
        <w:keepLines w:val="0"/>
        <w:pageBreakBefore w:val="0"/>
        <w:widowControl w:val="0"/>
        <w:tabs>
          <w:tab w:val="center" w:pos="4153"/>
          <w:tab w:val="left" w:pos="7275"/>
        </w:tabs>
        <w:kinsoku/>
        <w:wordWrap/>
        <w:topLinePunct w:val="0"/>
        <w:autoSpaceDE/>
        <w:autoSpaceDN/>
        <w:bidi w:val="0"/>
        <w:adjustRightInd/>
        <w:snapToGrid/>
        <w:spacing w:line="594" w:lineRule="exact"/>
        <w:ind w:firstLine="64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（一）财政拨款收入：</w:t>
      </w:r>
      <w:r>
        <w:rPr>
          <w:rFonts w:hint="default" w:ascii="Times New Roman" w:hAnsi="Times New Roman" w:eastAsia="方正仿宋_GBK" w:cs="Times New Roman"/>
          <w:sz w:val="32"/>
          <w:szCs w:val="32"/>
          <w:highlight w:val="none"/>
        </w:rPr>
        <w:t>指本年度从本级财政部门取得的财政拨款，包括一般公共预算财政拨款和政府性基金预算财政拨款。</w:t>
      </w:r>
    </w:p>
    <w:p>
      <w:pPr>
        <w:pStyle w:val="30"/>
        <w:keepNext w:val="0"/>
        <w:keepLines w:val="0"/>
        <w:pageBreakBefore w:val="0"/>
        <w:widowControl w:val="0"/>
        <w:tabs>
          <w:tab w:val="center" w:pos="4153"/>
          <w:tab w:val="left" w:pos="7275"/>
        </w:tabs>
        <w:kinsoku/>
        <w:wordWrap/>
        <w:topLinePunct w:val="0"/>
        <w:autoSpaceDE/>
        <w:autoSpaceDN/>
        <w:bidi w:val="0"/>
        <w:adjustRightInd/>
        <w:snapToGrid/>
        <w:spacing w:line="594" w:lineRule="exact"/>
        <w:ind w:firstLine="64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（二）其他收入：</w:t>
      </w:r>
      <w:r>
        <w:rPr>
          <w:rFonts w:hint="default" w:ascii="Times New Roman" w:hAnsi="Times New Roman" w:eastAsia="方正仿宋_GBK" w:cs="Times New Roman"/>
          <w:sz w:val="32"/>
          <w:szCs w:val="32"/>
          <w:highlight w:val="none"/>
        </w:rPr>
        <w:t>指单位取得的除“财政拨款收入”、“事业收入”、“经营收入”等以外的收入。</w:t>
      </w:r>
    </w:p>
    <w:p>
      <w:pPr>
        <w:pStyle w:val="30"/>
        <w:keepNext w:val="0"/>
        <w:keepLines w:val="0"/>
        <w:pageBreakBefore w:val="0"/>
        <w:widowControl w:val="0"/>
        <w:tabs>
          <w:tab w:val="center" w:pos="4153"/>
          <w:tab w:val="left" w:pos="7275"/>
        </w:tabs>
        <w:kinsoku/>
        <w:wordWrap/>
        <w:topLinePunct w:val="0"/>
        <w:autoSpaceDE/>
        <w:autoSpaceDN/>
        <w:bidi w:val="0"/>
        <w:adjustRightInd/>
        <w:snapToGrid/>
        <w:spacing w:line="594" w:lineRule="exact"/>
        <w:ind w:firstLine="64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（三）基本支出：</w:t>
      </w:r>
      <w:r>
        <w:rPr>
          <w:rFonts w:hint="default" w:ascii="Times New Roman" w:hAnsi="Times New Roman" w:eastAsia="方正仿宋_GBK" w:cs="Times New Roman"/>
          <w:sz w:val="32"/>
          <w:szCs w:val="32"/>
          <w:highlight w:val="none"/>
        </w:rPr>
        <w:t>指为保障机构正常运转、完成日常工作任务而发生的人员经费和公用经费。</w:t>
      </w:r>
    </w:p>
    <w:p>
      <w:pPr>
        <w:pStyle w:val="30"/>
        <w:keepNext w:val="0"/>
        <w:keepLines w:val="0"/>
        <w:pageBreakBefore w:val="0"/>
        <w:widowControl w:val="0"/>
        <w:tabs>
          <w:tab w:val="center" w:pos="4153"/>
          <w:tab w:val="left" w:pos="7275"/>
        </w:tabs>
        <w:kinsoku/>
        <w:wordWrap/>
        <w:topLinePunct w:val="0"/>
        <w:autoSpaceDE/>
        <w:autoSpaceDN/>
        <w:bidi w:val="0"/>
        <w:adjustRightInd/>
        <w:snapToGrid/>
        <w:spacing w:line="594" w:lineRule="exact"/>
        <w:ind w:firstLine="64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（四）项目支出：</w:t>
      </w:r>
      <w:r>
        <w:rPr>
          <w:rFonts w:hint="default" w:ascii="Times New Roman" w:hAnsi="Times New Roman" w:eastAsia="方正仿宋_GBK" w:cs="Times New Roman"/>
          <w:sz w:val="32"/>
          <w:szCs w:val="32"/>
          <w:highlight w:val="none"/>
        </w:rPr>
        <w:t>指在基本支出之外为完成特定行政任务和事业发展目标所发生的支出。</w:t>
      </w:r>
    </w:p>
    <w:p>
      <w:pPr>
        <w:keepNext w:val="0"/>
        <w:keepLines w:val="0"/>
        <w:pageBreakBefore w:val="0"/>
        <w:widowControl w:val="0"/>
        <w:kinsoku/>
        <w:wordWrap/>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（五）“三公”经费：</w:t>
      </w:r>
      <w:r>
        <w:rPr>
          <w:rFonts w:hint="default" w:ascii="Times New Roman" w:hAnsi="Times New Roman" w:eastAsia="方正仿宋_GBK" w:cs="Times New Roman"/>
          <w:sz w:val="32"/>
          <w:szCs w:val="32"/>
          <w:highlight w:val="none"/>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widowControl w:val="0"/>
        <w:kinsoku/>
        <w:wordWrap/>
        <w:topLinePunct w:val="0"/>
        <w:autoSpaceDE/>
        <w:autoSpaceDN/>
        <w:bidi w:val="0"/>
        <w:adjustRightInd/>
        <w:snapToGrid/>
        <w:spacing w:line="594" w:lineRule="exact"/>
        <w:textAlignment w:val="auto"/>
        <w:rPr>
          <w:rFonts w:hint="default" w:ascii="Times New Roman" w:hAnsi="Times New Roman" w:eastAsia="方正小标宋_GBK" w:cs="Times New Roman"/>
          <w:sz w:val="44"/>
          <w:szCs w:val="44"/>
          <w:highlight w:val="none"/>
        </w:rPr>
      </w:pPr>
    </w:p>
    <w:p>
      <w:pPr>
        <w:keepNext w:val="0"/>
        <w:keepLines w:val="0"/>
        <w:pageBreakBefore w:val="0"/>
        <w:widowControl w:val="0"/>
        <w:kinsoku/>
        <w:wordWrap/>
        <w:topLinePunct w:val="0"/>
        <w:autoSpaceDE/>
        <w:autoSpaceDN/>
        <w:bidi w:val="0"/>
        <w:adjustRightInd/>
        <w:snapToGrid/>
        <w:spacing w:line="594" w:lineRule="exact"/>
        <w:ind w:firstLine="880" w:firstLineChars="200"/>
        <w:textAlignment w:val="auto"/>
        <w:rPr>
          <w:rFonts w:hint="default" w:ascii="Times New Roman" w:hAnsi="Times New Roman" w:eastAsia="方正小标宋_GBK" w:cs="Times New Roman"/>
          <w:sz w:val="44"/>
          <w:szCs w:val="44"/>
          <w:highlight w:val="none"/>
        </w:rPr>
      </w:pPr>
    </w:p>
    <w:p>
      <w:pPr>
        <w:keepNext w:val="0"/>
        <w:keepLines w:val="0"/>
        <w:pageBreakBefore w:val="0"/>
        <w:widowControl w:val="0"/>
        <w:kinsoku/>
        <w:wordWrap/>
        <w:topLinePunct w:val="0"/>
        <w:autoSpaceDE/>
        <w:autoSpaceDN/>
        <w:bidi w:val="0"/>
        <w:adjustRightInd/>
        <w:snapToGrid/>
        <w:spacing w:line="594" w:lineRule="exact"/>
        <w:ind w:firstLine="880" w:firstLineChars="200"/>
        <w:textAlignment w:val="auto"/>
        <w:rPr>
          <w:rFonts w:hint="default" w:ascii="Times New Roman" w:hAnsi="Times New Roman" w:eastAsia="方正小标宋_GBK" w:cs="Times New Roman"/>
          <w:sz w:val="44"/>
          <w:szCs w:val="44"/>
          <w:highlight w:val="none"/>
        </w:rPr>
      </w:pPr>
    </w:p>
    <w:p>
      <w:pPr>
        <w:keepNext w:val="0"/>
        <w:keepLines w:val="0"/>
        <w:pageBreakBefore w:val="0"/>
        <w:widowControl w:val="0"/>
        <w:kinsoku/>
        <w:wordWrap/>
        <w:topLinePunct w:val="0"/>
        <w:autoSpaceDE/>
        <w:autoSpaceDN/>
        <w:bidi w:val="0"/>
        <w:adjustRightInd/>
        <w:snapToGrid/>
        <w:spacing w:line="594" w:lineRule="exact"/>
        <w:ind w:firstLine="880" w:firstLineChars="200"/>
        <w:textAlignment w:val="auto"/>
        <w:rPr>
          <w:rFonts w:hint="default" w:ascii="Times New Roman" w:hAnsi="Times New Roman" w:eastAsia="方正小标宋_GBK" w:cs="Times New Roman"/>
          <w:sz w:val="44"/>
          <w:szCs w:val="44"/>
          <w:highlight w:val="none"/>
        </w:rPr>
      </w:pPr>
    </w:p>
    <w:p>
      <w:pPr>
        <w:keepNext w:val="0"/>
        <w:keepLines w:val="0"/>
        <w:pageBreakBefore w:val="0"/>
        <w:widowControl w:val="0"/>
        <w:kinsoku/>
        <w:wordWrap/>
        <w:topLinePunct w:val="0"/>
        <w:autoSpaceDE/>
        <w:autoSpaceDN/>
        <w:bidi w:val="0"/>
        <w:adjustRightInd/>
        <w:snapToGrid/>
        <w:spacing w:line="594" w:lineRule="exact"/>
        <w:ind w:firstLine="880" w:firstLineChars="200"/>
        <w:textAlignment w:val="auto"/>
        <w:rPr>
          <w:rFonts w:hint="default" w:ascii="Times New Roman" w:hAnsi="Times New Roman" w:eastAsia="方正小标宋_GBK" w:cs="Times New Roman"/>
          <w:sz w:val="44"/>
          <w:szCs w:val="44"/>
          <w:highlight w:val="none"/>
        </w:rPr>
      </w:pPr>
    </w:p>
    <w:p>
      <w:pPr>
        <w:pStyle w:val="2"/>
        <w:keepNext w:val="0"/>
        <w:keepLines w:val="0"/>
        <w:pageBreakBefore w:val="0"/>
        <w:widowControl w:val="0"/>
        <w:kinsoku/>
        <w:wordWrap/>
        <w:topLinePunct w:val="0"/>
        <w:autoSpaceDE/>
        <w:autoSpaceDN/>
        <w:bidi w:val="0"/>
        <w:adjustRightInd/>
        <w:snapToGrid/>
        <w:spacing w:line="594" w:lineRule="exact"/>
        <w:ind w:left="0" w:leftChars="0" w:firstLine="0" w:firstLineChars="0"/>
        <w:textAlignment w:val="auto"/>
        <w:rPr>
          <w:rFonts w:hint="default" w:ascii="Times New Roman" w:hAnsi="Times New Roman" w:eastAsia="方正小标宋_GBK" w:cs="Times New Roman"/>
          <w:sz w:val="44"/>
          <w:szCs w:val="44"/>
          <w:highlight w:val="none"/>
        </w:rPr>
      </w:pPr>
    </w:p>
    <w:p>
      <w:pPr>
        <w:keepNext w:val="0"/>
        <w:keepLines w:val="0"/>
        <w:pageBreakBefore w:val="0"/>
        <w:widowControl w:val="0"/>
        <w:kinsoku/>
        <w:wordWrap/>
        <w:topLinePunct w:val="0"/>
        <w:autoSpaceDE/>
        <w:autoSpaceDN/>
        <w:bidi w:val="0"/>
        <w:adjustRightInd/>
        <w:snapToGrid/>
        <w:spacing w:line="594" w:lineRule="exact"/>
        <w:textAlignment w:val="auto"/>
        <w:rPr>
          <w:rFonts w:hint="default" w:ascii="Times New Roman" w:hAnsi="Times New Roman" w:eastAsia="方正小标宋_GBK" w:cs="Times New Roman"/>
          <w:sz w:val="44"/>
          <w:szCs w:val="44"/>
          <w:highlight w:val="none"/>
        </w:rPr>
      </w:pPr>
    </w:p>
    <w:p>
      <w:pPr>
        <w:pStyle w:val="2"/>
        <w:keepNext w:val="0"/>
        <w:keepLines w:val="0"/>
        <w:pageBreakBefore w:val="0"/>
        <w:widowControl w:val="0"/>
        <w:kinsoku/>
        <w:wordWrap/>
        <w:topLinePunct w:val="0"/>
        <w:autoSpaceDE/>
        <w:autoSpaceDN/>
        <w:bidi w:val="0"/>
        <w:adjustRightInd/>
        <w:snapToGrid/>
        <w:spacing w:line="594" w:lineRule="exact"/>
        <w:textAlignment w:val="auto"/>
        <w:rPr>
          <w:rFonts w:hint="default"/>
        </w:rPr>
      </w:pPr>
    </w:p>
    <w:p>
      <w:pPr>
        <w:keepNext w:val="0"/>
        <w:keepLines w:val="0"/>
        <w:pageBreakBefore w:val="0"/>
        <w:widowControl w:val="0"/>
        <w:kinsoku/>
        <w:wordWrap/>
        <w:topLinePunct w:val="0"/>
        <w:autoSpaceDE/>
        <w:autoSpaceDN/>
        <w:bidi w:val="0"/>
        <w:adjustRightInd/>
        <w:snapToGrid/>
        <w:spacing w:line="594" w:lineRule="exact"/>
        <w:ind w:firstLine="880" w:firstLineChars="200"/>
        <w:textAlignment w:val="auto"/>
        <w:rPr>
          <w:rFonts w:hint="default" w:ascii="Times New Roman" w:hAnsi="Times New Roman" w:eastAsia="方正小标宋_GBK" w:cs="Times New Roman"/>
          <w:sz w:val="44"/>
          <w:szCs w:val="44"/>
          <w:highlight w:val="none"/>
        </w:rPr>
      </w:pPr>
    </w:p>
    <w:p>
      <w:pPr>
        <w:keepNext w:val="0"/>
        <w:keepLines w:val="0"/>
        <w:pageBreakBefore w:val="0"/>
        <w:widowControl w:val="0"/>
        <w:kinsoku/>
        <w:wordWrap/>
        <w:topLinePunct w:val="0"/>
        <w:autoSpaceDE/>
        <w:autoSpaceDN/>
        <w:bidi w:val="0"/>
        <w:adjustRightInd/>
        <w:snapToGrid/>
        <w:spacing w:line="594" w:lineRule="exact"/>
        <w:ind w:firstLine="880" w:firstLineChars="200"/>
        <w:textAlignment w:val="auto"/>
        <w:rPr>
          <w:rFonts w:hint="default" w:ascii="Times New Roman" w:hAnsi="Times New Roman" w:eastAsia="方正小标宋_GBK" w:cs="Times New Roman"/>
          <w:sz w:val="44"/>
          <w:szCs w:val="44"/>
          <w:highlight w:val="none"/>
        </w:rPr>
        <w:sectPr>
          <w:pgSz w:w="11906" w:h="16838"/>
          <w:pgMar w:top="1984" w:right="1446" w:bottom="1644" w:left="1446" w:header="851" w:footer="1304" w:gutter="0"/>
          <w:cols w:space="0" w:num="1"/>
          <w:rtlGutter w:val="0"/>
          <w:docGrid w:type="lines" w:linePitch="315" w:charSpace="0"/>
        </w:sectPr>
      </w:pPr>
    </w:p>
    <w:p>
      <w:pPr>
        <w:keepNext w:val="0"/>
        <w:keepLines w:val="0"/>
        <w:pageBreakBefore w:val="0"/>
        <w:widowControl w:val="0"/>
        <w:kinsoku/>
        <w:wordWrap/>
        <w:topLinePunct w:val="0"/>
        <w:autoSpaceDE/>
        <w:autoSpaceDN/>
        <w:bidi w:val="0"/>
        <w:adjustRightInd/>
        <w:snapToGrid/>
        <w:spacing w:line="594" w:lineRule="exact"/>
        <w:jc w:val="center"/>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第二部分：</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年部门预算公开报表</w:t>
      </w:r>
    </w:p>
    <w:p>
      <w:pPr>
        <w:keepNext w:val="0"/>
        <w:keepLines w:val="0"/>
        <w:pageBreakBefore w:val="0"/>
        <w:widowControl w:val="0"/>
        <w:kinsoku/>
        <w:wordWrap/>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sz w:val="32"/>
          <w:highlight w:val="none"/>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年部门预算公开报表（详见附表</w:t>
      </w:r>
      <w:r>
        <w:rPr>
          <w:rFonts w:hint="eastAsia" w:ascii="Times New Roman" w:hAnsi="Times New Roman" w:eastAsia="方正仿宋_GBK" w:cs="Times New Roman"/>
          <w:sz w:val="32"/>
          <w:szCs w:val="32"/>
          <w:highlight w:val="none"/>
          <w:lang w:val="en-US" w:eastAsia="zh-CN"/>
        </w:rPr>
        <w:t>重庆市开州区长沙镇便民服务中心</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年部门预算公开报表）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rPr>
        <w:t>部门预算公开联系人：</w:t>
      </w:r>
      <w:r>
        <w:rPr>
          <w:rFonts w:hint="eastAsia" w:ascii="Times New Roman" w:hAnsi="Times New Roman" w:eastAsia="方正仿宋_GBK" w:cs="Times New Roman"/>
          <w:sz w:val="32"/>
          <w:szCs w:val="32"/>
          <w:highlight w:val="none"/>
          <w:lang w:val="en-US" w:eastAsia="zh-CN"/>
        </w:rPr>
        <w:t>王柳</w:t>
      </w:r>
      <w:r>
        <w:rPr>
          <w:rFonts w:hint="default" w:ascii="Times New Roman" w:hAnsi="Times New Roman" w:eastAsia="方正仿宋_GBK" w:cs="Times New Roman"/>
          <w:sz w:val="32"/>
          <w:szCs w:val="32"/>
          <w:highlight w:val="none"/>
        </w:rPr>
        <w:t xml:space="preserve">  联系方式：023-</w:t>
      </w:r>
      <w:r>
        <w:rPr>
          <w:rFonts w:hint="eastAsia" w:ascii="Times New Roman" w:hAnsi="Times New Roman" w:eastAsia="方正仿宋_GBK" w:cs="Times New Roman"/>
          <w:sz w:val="32"/>
          <w:szCs w:val="32"/>
          <w:highlight w:val="none"/>
          <w:lang w:val="en-US" w:eastAsia="zh-CN"/>
        </w:rPr>
        <w:t>52533905</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val="0"/>
        <w:overflowPunct/>
        <w:topLinePunct w:val="0"/>
        <w:autoSpaceDE/>
        <w:autoSpaceDN/>
        <w:bidi w:val="0"/>
        <w:adjustRightInd/>
        <w:snapToGrid/>
        <w:spacing w:line="594" w:lineRule="exact"/>
        <w:ind w:firstLine="640" w:firstLineChars="200"/>
        <w:jc w:val="right"/>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rPr>
        <w:t xml:space="preserve">                </w:t>
      </w:r>
      <w:r>
        <w:rPr>
          <w:rFonts w:hint="default" w:ascii="Times New Roman" w:hAnsi="Times New Roman" w:eastAsia="方正仿宋_GBK" w:cs="Times New Roman"/>
          <w:sz w:val="32"/>
          <w:szCs w:val="32"/>
          <w:highlight w:val="none"/>
          <w:lang w:val="en-US" w:eastAsia="zh-CN"/>
        </w:rPr>
        <w:t xml:space="preserve"> </w:t>
      </w:r>
      <w:r>
        <w:rPr>
          <w:rFonts w:hint="eastAsia" w:ascii="Times New Roman" w:hAnsi="Times New Roman" w:eastAsia="方正仿宋_GBK" w:cs="Times New Roman"/>
          <w:sz w:val="32"/>
          <w:szCs w:val="32"/>
          <w:highlight w:val="none"/>
          <w:lang w:val="en-US" w:eastAsia="zh-CN"/>
        </w:rPr>
        <w:t xml:space="preserve">重庆市开州区长沙镇人民政府    </w:t>
      </w:r>
    </w:p>
    <w:p>
      <w:pPr>
        <w:keepNext w:val="0"/>
        <w:keepLines w:val="0"/>
        <w:pageBreakBefore w:val="0"/>
        <w:widowControl w:val="0"/>
        <w:kinsoku/>
        <w:wordWrap w:val="0"/>
        <w:overflowPunct/>
        <w:topLinePunct w:val="0"/>
        <w:autoSpaceDE/>
        <w:autoSpaceDN/>
        <w:bidi w:val="0"/>
        <w:adjustRightInd/>
        <w:snapToGrid/>
        <w:spacing w:line="594" w:lineRule="exact"/>
        <w:ind w:firstLine="640" w:firstLineChars="200"/>
        <w:jc w:val="right"/>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rPr>
        <w:t xml:space="preserve">         </w:t>
      </w:r>
      <w:r>
        <w:rPr>
          <w:rFonts w:hint="eastAsia"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 xml:space="preserve">        202</w:t>
      </w:r>
      <w:r>
        <w:rPr>
          <w:rFonts w:hint="default" w:ascii="Times New Roman" w:hAnsi="Times New Roman" w:eastAsia="方正仿宋_GBK" w:cs="Times New Roman"/>
          <w:sz w:val="32"/>
          <w:szCs w:val="32"/>
          <w:highlight w:val="none"/>
          <w:lang w:val="en-US" w:eastAsia="zh-CN"/>
        </w:rPr>
        <w:t>6</w:t>
      </w:r>
      <w:r>
        <w:rPr>
          <w:rFonts w:hint="default" w:ascii="Times New Roman" w:hAnsi="Times New Roman" w:eastAsia="方正仿宋_GBK" w:cs="Times New Roman"/>
          <w:sz w:val="32"/>
          <w:szCs w:val="32"/>
          <w:highlight w:val="none"/>
        </w:rPr>
        <w:t>年3月</w:t>
      </w:r>
      <w:r>
        <w:rPr>
          <w:rFonts w:hint="default" w:ascii="Times New Roman" w:hAnsi="Times New Roman" w:eastAsia="方正仿宋_GBK" w:cs="Times New Roman"/>
          <w:sz w:val="32"/>
          <w:szCs w:val="32"/>
          <w:highlight w:val="none"/>
          <w:lang w:val="en-US" w:eastAsia="zh-CN"/>
        </w:rPr>
        <w:t>1</w:t>
      </w:r>
      <w:r>
        <w:rPr>
          <w:rFonts w:hint="eastAsia" w:ascii="Times New Roman" w:hAnsi="Times New Roman" w:eastAsia="方正仿宋_GBK" w:cs="Times New Roman"/>
          <w:sz w:val="32"/>
          <w:szCs w:val="32"/>
          <w:highlight w:val="none"/>
          <w:lang w:val="en-US" w:eastAsia="zh-CN"/>
        </w:rPr>
        <w:t>1</w:t>
      </w:r>
      <w:bookmarkStart w:id="0" w:name="_GoBack"/>
      <w:bookmarkEnd w:id="0"/>
      <w:r>
        <w:rPr>
          <w:rFonts w:hint="default" w:ascii="Times New Roman" w:hAnsi="Times New Roman" w:eastAsia="方正仿宋_GBK" w:cs="Times New Roman"/>
          <w:sz w:val="32"/>
          <w:szCs w:val="32"/>
          <w:highlight w:val="none"/>
        </w:rPr>
        <w:t>日</w:t>
      </w:r>
      <w:r>
        <w:rPr>
          <w:rFonts w:hint="eastAsia" w:ascii="Times New Roman" w:hAnsi="Times New Roman" w:eastAsia="方正仿宋_GBK" w:cs="Times New Roman"/>
          <w:sz w:val="32"/>
          <w:szCs w:val="32"/>
          <w:highlight w:val="none"/>
          <w:lang w:val="en-US" w:eastAsia="zh-CN"/>
        </w:rPr>
        <w:t xml:space="preserve">         </w:t>
      </w:r>
    </w:p>
    <w:p>
      <w:pPr>
        <w:keepNext w:val="0"/>
        <w:keepLines w:val="0"/>
        <w:pageBreakBefore w:val="0"/>
        <w:widowControl w:val="0"/>
        <w:kinsoku/>
        <w:wordWrap/>
        <w:topLinePunct w:val="0"/>
        <w:autoSpaceDE/>
        <w:autoSpaceDN/>
        <w:bidi w:val="0"/>
        <w:adjustRightInd/>
        <w:snapToGrid/>
        <w:spacing w:line="594" w:lineRule="exact"/>
        <w:jc w:val="center"/>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仿宋_GBK" w:cs="Times New Roman"/>
          <w:sz w:val="32"/>
          <w:szCs w:val="32"/>
          <w:highlight w:val="none"/>
        </w:rPr>
      </w:pPr>
    </w:p>
    <w:p>
      <w:pPr>
        <w:pStyle w:val="2"/>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highlight w:val="none"/>
        </w:rPr>
      </w:pPr>
    </w:p>
    <w:p>
      <w:pPr>
        <w:pStyle w:val="2"/>
        <w:ind w:left="0" w:leftChars="0" w:firstLine="0" w:firstLineChars="0"/>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keepNext w:val="0"/>
        <w:keepLines w:val="0"/>
        <w:pageBreakBefore w:val="0"/>
        <w:widowControl w:val="0"/>
        <w:kinsoku/>
        <w:wordWrap/>
        <w:topLinePunct w:val="0"/>
        <w:autoSpaceDE/>
        <w:autoSpaceDN/>
        <w:bidi w:val="0"/>
        <w:adjustRightInd/>
        <w:snapToGrid/>
        <w:spacing w:line="594" w:lineRule="exact"/>
        <w:textAlignment w:val="auto"/>
        <w:rPr>
          <w:rFonts w:hint="default" w:ascii="Times New Roman" w:hAnsi="Times New Roman" w:eastAsia="方正黑体_GBK" w:cs="Times New Roman"/>
          <w:color w:val="auto"/>
          <w:sz w:val="32"/>
          <w:szCs w:val="32"/>
          <w:highlight w:val="none"/>
        </w:rPr>
      </w:pPr>
    </w:p>
    <w:p>
      <w:pPr>
        <w:keepNext w:val="0"/>
        <w:keepLines w:val="0"/>
        <w:pageBreakBefore w:val="0"/>
        <w:widowControl w:val="0"/>
        <w:pBdr>
          <w:top w:val="single" w:color="auto" w:sz="4" w:space="1"/>
          <w:bottom w:val="single" w:color="auto" w:sz="4" w:space="1"/>
        </w:pBdr>
        <w:kinsoku/>
        <w:wordWrap/>
        <w:overflowPunct/>
        <w:topLinePunct w:val="0"/>
        <w:autoSpaceDE/>
        <w:autoSpaceDN/>
        <w:bidi w:val="0"/>
        <w:adjustRightInd/>
        <w:snapToGrid/>
        <w:spacing w:line="560" w:lineRule="exact"/>
        <w:ind w:firstLine="280" w:firstLineChars="100"/>
        <w:jc w:val="left"/>
        <w:textAlignment w:val="auto"/>
        <w:rPr>
          <w:rFonts w:hint="default"/>
          <w:lang w:val="en-US" w:eastAsia="zh-CN"/>
        </w:rPr>
      </w:pPr>
      <w:r>
        <w:rPr>
          <w:rFonts w:hint="default" w:ascii="Times New Roman" w:hAnsi="Times New Roman" w:eastAsia="方正仿宋_GBK" w:cs="Times New Roman"/>
          <w:sz w:val="28"/>
          <w:szCs w:val="28"/>
        </w:rPr>
        <w:t>重庆市开州区长沙镇</w:t>
      </w:r>
      <w:r>
        <w:rPr>
          <w:rFonts w:hint="default" w:ascii="Times New Roman" w:hAnsi="Times New Roman" w:eastAsia="方正仿宋_GBK" w:cs="Times New Roman"/>
          <w:sz w:val="28"/>
          <w:szCs w:val="28"/>
          <w:lang w:eastAsia="zh-CN"/>
        </w:rPr>
        <w:t>基层治理综合指挥室</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 xml:space="preserve">  </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202</w:t>
      </w:r>
      <w:r>
        <w:rPr>
          <w:rFonts w:hint="eastAsia" w:ascii="Times New Roman" w:hAnsi="Times New Roman" w:eastAsia="方正仿宋_GBK" w:cs="Times New Roman"/>
          <w:sz w:val="28"/>
          <w:szCs w:val="28"/>
          <w:lang w:val="en-US" w:eastAsia="zh-CN"/>
        </w:rPr>
        <w:t>6</w:t>
      </w:r>
      <w:r>
        <w:rPr>
          <w:rFonts w:hint="default" w:ascii="Times New Roman" w:hAnsi="Times New Roman" w:eastAsia="方正仿宋_GBK" w:cs="Times New Roman"/>
          <w:sz w:val="28"/>
          <w:szCs w:val="28"/>
        </w:rPr>
        <w:t>年</w:t>
      </w:r>
      <w:r>
        <w:rPr>
          <w:rFonts w:hint="eastAsia" w:ascii="Times New Roman" w:hAnsi="Times New Roman" w:eastAsia="方正仿宋_GBK" w:cs="Times New Roman"/>
          <w:sz w:val="28"/>
          <w:szCs w:val="28"/>
          <w:lang w:val="en-US" w:eastAsia="zh-CN"/>
        </w:rPr>
        <w:t>3</w:t>
      </w:r>
      <w:r>
        <w:rPr>
          <w:rFonts w:hint="default" w:ascii="Times New Roman" w:hAnsi="Times New Roman" w:eastAsia="方正仿宋_GBK" w:cs="Times New Roman"/>
          <w:sz w:val="28"/>
          <w:szCs w:val="28"/>
        </w:rPr>
        <w:t>月</w:t>
      </w:r>
      <w:r>
        <w:rPr>
          <w:rFonts w:hint="default" w:ascii="Times New Roman" w:hAnsi="Times New Roman" w:eastAsia="方正仿宋_GBK" w:cs="Times New Roman"/>
          <w:sz w:val="28"/>
          <w:szCs w:val="28"/>
          <w:lang w:val="en-US" w:eastAsia="zh-CN"/>
        </w:rPr>
        <w:t>1</w:t>
      </w:r>
      <w:r>
        <w:rPr>
          <w:rFonts w:hint="eastAsia" w:ascii="Times New Roman" w:hAnsi="Times New Roman" w:eastAsia="方正仿宋_GBK" w:cs="Times New Roman"/>
          <w:sz w:val="28"/>
          <w:szCs w:val="28"/>
          <w:lang w:val="en-US" w:eastAsia="zh-CN"/>
        </w:rPr>
        <w:t>1</w:t>
      </w:r>
      <w:r>
        <w:rPr>
          <w:rFonts w:hint="default" w:ascii="Times New Roman" w:hAnsi="Times New Roman" w:eastAsia="方正仿宋_GBK" w:cs="Times New Roman"/>
          <w:sz w:val="28"/>
          <w:szCs w:val="28"/>
        </w:rPr>
        <w:t>日印发</w:t>
      </w:r>
      <w:r>
        <w:rPr>
          <w:rFonts w:hint="default" w:ascii="Times New Roman" w:hAnsi="Times New Roman" w:eastAsia="方正仿宋_GBK" w:cs="Times New Roman"/>
          <w:sz w:val="28"/>
          <w:szCs w:val="28"/>
          <w:lang w:val="en-US" w:eastAsia="zh-CN"/>
        </w:rPr>
        <w:t xml:space="preserve">  </w:t>
      </w:r>
    </w:p>
    <w:sectPr>
      <w:pgSz w:w="11906" w:h="16838"/>
      <w:pgMar w:top="1984" w:right="1446" w:bottom="1644" w:left="1446" w:header="851" w:footer="1304" w:gutter="0"/>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3000509000000000000"/>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wordWrap w:val="0"/>
      <w:ind w:right="128" w:rightChars="61"/>
      <w:jc w:val="right"/>
    </w:pPr>
    <w:r>
      <w:rPr>
        <w:rStyle w:val="12"/>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9</w:t>
    </w:r>
    <w:r>
      <w:rPr>
        <w:rFonts w:ascii="宋体" w:hAnsi="宋体" w:eastAsia="宋体"/>
        <w:sz w:val="28"/>
        <w:szCs w:val="28"/>
      </w:rPr>
      <w:fldChar w:fldCharType="end"/>
    </w:r>
    <w:r>
      <w:rPr>
        <w:rFonts w:hint="eastAsia" w:ascii="宋体" w:hAnsi="宋体" w:eastAsia="宋体"/>
        <w:sz w:val="28"/>
        <w:szCs w:val="28"/>
      </w:rPr>
      <w:t xml:space="preserve"> </w:t>
    </w:r>
    <w:r>
      <w:rPr>
        <w:rStyle w:val="12"/>
        <w:rFonts w:hint="eastAsia" w:ascii="宋体" w:hAnsi="宋体" w:eastAsia="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426"/>
      </w:tabs>
      <w:wordWrap w:val="0"/>
      <w:ind w:left="279" w:leftChars="133" w:right="560"/>
    </w:pPr>
    <w:r>
      <w:rPr>
        <w:rStyle w:val="12"/>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10</w:t>
    </w:r>
    <w:r>
      <w:rPr>
        <w:rFonts w:ascii="宋体" w:hAnsi="宋体" w:eastAsia="宋体"/>
        <w:sz w:val="28"/>
        <w:szCs w:val="28"/>
      </w:rPr>
      <w:fldChar w:fldCharType="end"/>
    </w:r>
    <w:r>
      <w:rPr>
        <w:rFonts w:hint="eastAsia" w:ascii="宋体" w:hAnsi="宋体" w:eastAsia="宋体"/>
        <w:sz w:val="28"/>
        <w:szCs w:val="28"/>
      </w:rPr>
      <w:t xml:space="preserve"> </w:t>
    </w:r>
    <w:r>
      <w:rPr>
        <w:rStyle w:val="12"/>
        <w:rFonts w:hint="eastAsia" w:ascii="宋体" w:hAnsi="宋体" w:eastAsia="宋体"/>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documentProtection w:enforcement="0"/>
  <w:defaultTabStop w:val="420"/>
  <w:evenAndOddHeaders w:val="1"/>
  <w:drawingGridVerticalSpacing w:val="16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A1407"/>
    <w:rsid w:val="00FA00A3"/>
    <w:rsid w:val="01390BCC"/>
    <w:rsid w:val="01791910"/>
    <w:rsid w:val="01D86637"/>
    <w:rsid w:val="030A6CC4"/>
    <w:rsid w:val="030B74DD"/>
    <w:rsid w:val="036A59B4"/>
    <w:rsid w:val="03B95FF4"/>
    <w:rsid w:val="04387860"/>
    <w:rsid w:val="04763EE5"/>
    <w:rsid w:val="05241B93"/>
    <w:rsid w:val="05404FCB"/>
    <w:rsid w:val="0563090D"/>
    <w:rsid w:val="06EF3697"/>
    <w:rsid w:val="070B5F00"/>
    <w:rsid w:val="072432CE"/>
    <w:rsid w:val="07724E37"/>
    <w:rsid w:val="0780281E"/>
    <w:rsid w:val="07A877C1"/>
    <w:rsid w:val="07BA233A"/>
    <w:rsid w:val="07EF6488"/>
    <w:rsid w:val="08676707"/>
    <w:rsid w:val="08AD41A6"/>
    <w:rsid w:val="08B9315C"/>
    <w:rsid w:val="09C35E1E"/>
    <w:rsid w:val="0D132C19"/>
    <w:rsid w:val="0D162709"/>
    <w:rsid w:val="0D9F1B29"/>
    <w:rsid w:val="0F0C3DC3"/>
    <w:rsid w:val="0FE34B24"/>
    <w:rsid w:val="11B00A36"/>
    <w:rsid w:val="120B3EBE"/>
    <w:rsid w:val="14B7657F"/>
    <w:rsid w:val="14D02450"/>
    <w:rsid w:val="155344FA"/>
    <w:rsid w:val="16443E43"/>
    <w:rsid w:val="1703785A"/>
    <w:rsid w:val="18215731"/>
    <w:rsid w:val="18470C73"/>
    <w:rsid w:val="19045B0B"/>
    <w:rsid w:val="1B2304CB"/>
    <w:rsid w:val="1B707488"/>
    <w:rsid w:val="1BE0244F"/>
    <w:rsid w:val="1C8A5682"/>
    <w:rsid w:val="1F044C17"/>
    <w:rsid w:val="1F5570C1"/>
    <w:rsid w:val="2099122F"/>
    <w:rsid w:val="209A3254"/>
    <w:rsid w:val="20A63294"/>
    <w:rsid w:val="20BB050A"/>
    <w:rsid w:val="2165030C"/>
    <w:rsid w:val="224960C7"/>
    <w:rsid w:val="22870692"/>
    <w:rsid w:val="22D402FC"/>
    <w:rsid w:val="23D528B6"/>
    <w:rsid w:val="243F5C4A"/>
    <w:rsid w:val="245B0CD5"/>
    <w:rsid w:val="25A96130"/>
    <w:rsid w:val="28220787"/>
    <w:rsid w:val="28416802"/>
    <w:rsid w:val="28C64B8B"/>
    <w:rsid w:val="28EA5551"/>
    <w:rsid w:val="29736AC1"/>
    <w:rsid w:val="29CC6F35"/>
    <w:rsid w:val="2AA42CAA"/>
    <w:rsid w:val="2BE9306B"/>
    <w:rsid w:val="2C8E6DE1"/>
    <w:rsid w:val="2D142369"/>
    <w:rsid w:val="2DAD1E76"/>
    <w:rsid w:val="2E156CED"/>
    <w:rsid w:val="2E6B420B"/>
    <w:rsid w:val="2E725599"/>
    <w:rsid w:val="2EAB0AAB"/>
    <w:rsid w:val="2EEF6BEA"/>
    <w:rsid w:val="2F4405B8"/>
    <w:rsid w:val="2F7C5FA4"/>
    <w:rsid w:val="2FA986A4"/>
    <w:rsid w:val="2FF344B8"/>
    <w:rsid w:val="2FFB511A"/>
    <w:rsid w:val="314E60EC"/>
    <w:rsid w:val="322272D6"/>
    <w:rsid w:val="33737662"/>
    <w:rsid w:val="34986903"/>
    <w:rsid w:val="34DB0D1F"/>
    <w:rsid w:val="35914F53"/>
    <w:rsid w:val="37164F30"/>
    <w:rsid w:val="37CE1367"/>
    <w:rsid w:val="382F6B8A"/>
    <w:rsid w:val="38653A79"/>
    <w:rsid w:val="398B750F"/>
    <w:rsid w:val="3A9D7391"/>
    <w:rsid w:val="3AC30F2B"/>
    <w:rsid w:val="3B273268"/>
    <w:rsid w:val="3B8701AA"/>
    <w:rsid w:val="3BD11425"/>
    <w:rsid w:val="3BDF3B42"/>
    <w:rsid w:val="3CB925E5"/>
    <w:rsid w:val="3DAE7C70"/>
    <w:rsid w:val="3E8D3D29"/>
    <w:rsid w:val="3EEA231B"/>
    <w:rsid w:val="3F4C5993"/>
    <w:rsid w:val="3F7D3D9E"/>
    <w:rsid w:val="404623E2"/>
    <w:rsid w:val="40A13BE1"/>
    <w:rsid w:val="40E304B3"/>
    <w:rsid w:val="410A1661"/>
    <w:rsid w:val="41F86E85"/>
    <w:rsid w:val="43F9087A"/>
    <w:rsid w:val="4447497A"/>
    <w:rsid w:val="448C37A5"/>
    <w:rsid w:val="456A7FAE"/>
    <w:rsid w:val="46993C3E"/>
    <w:rsid w:val="46CE4EDF"/>
    <w:rsid w:val="47040901"/>
    <w:rsid w:val="47F900E4"/>
    <w:rsid w:val="49050C83"/>
    <w:rsid w:val="490D6193"/>
    <w:rsid w:val="4C8147A2"/>
    <w:rsid w:val="4D1F6F3F"/>
    <w:rsid w:val="4D51623B"/>
    <w:rsid w:val="4D914198"/>
    <w:rsid w:val="4F375A43"/>
    <w:rsid w:val="4F6A12C4"/>
    <w:rsid w:val="4FB31116"/>
    <w:rsid w:val="4FFA575F"/>
    <w:rsid w:val="50681F00"/>
    <w:rsid w:val="506D7517"/>
    <w:rsid w:val="51426BF5"/>
    <w:rsid w:val="5153670D"/>
    <w:rsid w:val="517A638F"/>
    <w:rsid w:val="51ED4F29"/>
    <w:rsid w:val="521F0CE5"/>
    <w:rsid w:val="52CF6267"/>
    <w:rsid w:val="52DC0984"/>
    <w:rsid w:val="535D1AC5"/>
    <w:rsid w:val="537E1A3B"/>
    <w:rsid w:val="5386726D"/>
    <w:rsid w:val="53B06098"/>
    <w:rsid w:val="557430F6"/>
    <w:rsid w:val="55FA7A9F"/>
    <w:rsid w:val="56E3418D"/>
    <w:rsid w:val="573E39BB"/>
    <w:rsid w:val="578735B4"/>
    <w:rsid w:val="58951D01"/>
    <w:rsid w:val="591250FF"/>
    <w:rsid w:val="59AC7302"/>
    <w:rsid w:val="5A5D05FC"/>
    <w:rsid w:val="5A7616BE"/>
    <w:rsid w:val="5A9D6C4B"/>
    <w:rsid w:val="5B975D90"/>
    <w:rsid w:val="5BC621D1"/>
    <w:rsid w:val="5DBC7D30"/>
    <w:rsid w:val="5F537095"/>
    <w:rsid w:val="60793CB6"/>
    <w:rsid w:val="61704203"/>
    <w:rsid w:val="61D513C0"/>
    <w:rsid w:val="62D60BCF"/>
    <w:rsid w:val="63473BF7"/>
    <w:rsid w:val="63D20F4B"/>
    <w:rsid w:val="63DA0F0F"/>
    <w:rsid w:val="64711499"/>
    <w:rsid w:val="64DF4A2F"/>
    <w:rsid w:val="64FB2EEB"/>
    <w:rsid w:val="655F347A"/>
    <w:rsid w:val="65801643"/>
    <w:rsid w:val="65AC124F"/>
    <w:rsid w:val="66391F1D"/>
    <w:rsid w:val="66C51A03"/>
    <w:rsid w:val="670C1AB4"/>
    <w:rsid w:val="67254250"/>
    <w:rsid w:val="679A58E8"/>
    <w:rsid w:val="67BF2512"/>
    <w:rsid w:val="68152516"/>
    <w:rsid w:val="69303936"/>
    <w:rsid w:val="69967687"/>
    <w:rsid w:val="6A895545"/>
    <w:rsid w:val="6AB9362D"/>
    <w:rsid w:val="6BB362CE"/>
    <w:rsid w:val="6BF568E6"/>
    <w:rsid w:val="6E752B8D"/>
    <w:rsid w:val="6EF70BC7"/>
    <w:rsid w:val="6EFC7F8C"/>
    <w:rsid w:val="6F0B6421"/>
    <w:rsid w:val="6F6D2C38"/>
    <w:rsid w:val="6FFBAD15"/>
    <w:rsid w:val="703379DD"/>
    <w:rsid w:val="70910BA8"/>
    <w:rsid w:val="70E707C8"/>
    <w:rsid w:val="713C1B02"/>
    <w:rsid w:val="71917EA7"/>
    <w:rsid w:val="71DD17B7"/>
    <w:rsid w:val="727A7B45"/>
    <w:rsid w:val="7399224D"/>
    <w:rsid w:val="73D634A1"/>
    <w:rsid w:val="73D6524F"/>
    <w:rsid w:val="743E2DF5"/>
    <w:rsid w:val="745443C6"/>
    <w:rsid w:val="74C94B5B"/>
    <w:rsid w:val="74CC0400"/>
    <w:rsid w:val="74CF1C9F"/>
    <w:rsid w:val="74DF1FAA"/>
    <w:rsid w:val="7621652A"/>
    <w:rsid w:val="76984A3E"/>
    <w:rsid w:val="789F5E0A"/>
    <w:rsid w:val="79183C14"/>
    <w:rsid w:val="7A280C99"/>
    <w:rsid w:val="7A601D17"/>
    <w:rsid w:val="7BC57958"/>
    <w:rsid w:val="7C1E1BC0"/>
    <w:rsid w:val="7C697D62"/>
    <w:rsid w:val="7DD30A52"/>
    <w:rsid w:val="7E307689"/>
    <w:rsid w:val="7EEA3A51"/>
    <w:rsid w:val="7F2B119F"/>
    <w:rsid w:val="7F8F6BFA"/>
    <w:rsid w:val="7FDF7D5D"/>
    <w:rsid w:val="7FFF87B8"/>
    <w:rsid w:val="BEDF5FE5"/>
    <w:rsid w:val="C3C2636B"/>
    <w:rsid w:val="C67BDFFE"/>
    <w:rsid w:val="EDFA4F20"/>
    <w:rsid w:val="EF7DA69E"/>
    <w:rsid w:val="EFE9C8FD"/>
    <w:rsid w:val="FAAF5353"/>
    <w:rsid w:val="FBBF4C8C"/>
    <w:rsid w:val="FF84EC0C"/>
    <w:rsid w:val="FFDB908C"/>
    <w:rsid w:val="FFFFC8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qFormat/>
    <w:uiPriority w:val="0"/>
    <w:pPr>
      <w:widowControl/>
      <w:jc w:val="left"/>
      <w:outlineLvl w:val="2"/>
    </w:pPr>
    <w:rPr>
      <w:rFonts w:ascii="宋体" w:hAnsi="宋体" w:cs="宋体"/>
      <w:b/>
      <w:bCs/>
      <w:kern w:val="0"/>
      <w:sz w:val="27"/>
      <w:szCs w:val="27"/>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567"/>
    </w:pPr>
    <w:rPr>
      <w:rFonts w:eastAsia="宋体"/>
      <w:sz w:val="21"/>
      <w:szCs w:val="24"/>
    </w:rPr>
  </w:style>
  <w:style w:type="paragraph" w:styleId="4">
    <w:name w:val="Body Text"/>
    <w:basedOn w:val="1"/>
    <w:next w:val="1"/>
    <w:unhideWhenUsed/>
    <w:qFormat/>
    <w:uiPriority w:val="99"/>
    <w:pPr>
      <w:spacing w:after="120"/>
    </w:pPr>
  </w:style>
  <w:style w:type="paragraph" w:styleId="5">
    <w:name w:val="Body Text Indent"/>
    <w:basedOn w:val="1"/>
    <w:qFormat/>
    <w:uiPriority w:val="0"/>
    <w:pPr>
      <w:ind w:firstLine="640" w:firstLineChars="200"/>
    </w:pPr>
    <w:rPr>
      <w:rFonts w:ascii="仿宋_GB2312" w:eastAsia="仿宋_GB2312"/>
      <w:sz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widowControl/>
      <w:spacing w:before="100" w:beforeAutospacing="1" w:after="100" w:afterAutospacing="1"/>
      <w:jc w:val="left"/>
    </w:pPr>
    <w:rPr>
      <w:rFonts w:ascii="宋体" w:hAnsi="宋体"/>
      <w:kern w:val="0"/>
      <w:sz w:val="24"/>
    </w:rPr>
  </w:style>
  <w:style w:type="character" w:styleId="11">
    <w:name w:val="Strong"/>
    <w:basedOn w:val="10"/>
    <w:qFormat/>
    <w:uiPriority w:val="0"/>
    <w:rPr>
      <w:b/>
    </w:rPr>
  </w:style>
  <w:style w:type="character" w:styleId="12">
    <w:name w:val="page number"/>
    <w:semiHidden/>
    <w:qFormat/>
    <w:uiPriority w:val="0"/>
  </w:style>
  <w:style w:type="character" w:customStyle="1" w:styleId="13">
    <w:name w:val="font21"/>
    <w:basedOn w:val="10"/>
    <w:qFormat/>
    <w:uiPriority w:val="0"/>
    <w:rPr>
      <w:rFonts w:hint="eastAsia" w:ascii="方正黑体_GBK" w:hAnsi="方正黑体_GBK" w:eastAsia="方正黑体_GBK" w:cs="方正黑体_GBK"/>
      <w:color w:val="000000"/>
      <w:sz w:val="24"/>
      <w:szCs w:val="24"/>
      <w:u w:val="none"/>
    </w:rPr>
  </w:style>
  <w:style w:type="character" w:customStyle="1" w:styleId="14">
    <w:name w:val="font31"/>
    <w:basedOn w:val="10"/>
    <w:qFormat/>
    <w:uiPriority w:val="0"/>
    <w:rPr>
      <w:rFonts w:hint="default" w:ascii="Times New Roman" w:hAnsi="Times New Roman" w:cs="Times New Roman"/>
      <w:color w:val="000000"/>
      <w:sz w:val="24"/>
      <w:szCs w:val="24"/>
      <w:u w:val="none"/>
    </w:rPr>
  </w:style>
  <w:style w:type="character" w:customStyle="1" w:styleId="15">
    <w:name w:val="font41"/>
    <w:basedOn w:val="10"/>
    <w:qFormat/>
    <w:uiPriority w:val="0"/>
    <w:rPr>
      <w:rFonts w:ascii="方正仿宋_GBK" w:hAnsi="方正仿宋_GBK" w:eastAsia="方正仿宋_GBK" w:cs="方正仿宋_GBK"/>
      <w:color w:val="000000"/>
      <w:sz w:val="24"/>
      <w:szCs w:val="24"/>
      <w:u w:val="none"/>
    </w:rPr>
  </w:style>
  <w:style w:type="character" w:customStyle="1" w:styleId="16">
    <w:name w:val="font121"/>
    <w:basedOn w:val="10"/>
    <w:qFormat/>
    <w:uiPriority w:val="0"/>
    <w:rPr>
      <w:rFonts w:hint="eastAsia" w:ascii="宋体" w:hAnsi="宋体" w:eastAsia="宋体" w:cs="宋体"/>
      <w:color w:val="000000"/>
      <w:sz w:val="22"/>
      <w:szCs w:val="22"/>
      <w:u w:val="none"/>
    </w:rPr>
  </w:style>
  <w:style w:type="character" w:customStyle="1" w:styleId="17">
    <w:name w:val="font91"/>
    <w:basedOn w:val="10"/>
    <w:qFormat/>
    <w:uiPriority w:val="0"/>
    <w:rPr>
      <w:rFonts w:ascii="方正黑体_GBK" w:hAnsi="方正黑体_GBK" w:eastAsia="方正黑体_GBK" w:cs="方正黑体_GBK"/>
      <w:color w:val="000000"/>
      <w:sz w:val="22"/>
      <w:szCs w:val="22"/>
      <w:u w:val="none"/>
    </w:rPr>
  </w:style>
  <w:style w:type="character" w:customStyle="1" w:styleId="18">
    <w:name w:val="font101"/>
    <w:basedOn w:val="10"/>
    <w:qFormat/>
    <w:uiPriority w:val="0"/>
    <w:rPr>
      <w:rFonts w:ascii="方正小标宋_GBK" w:hAnsi="方正小标宋_GBK" w:eastAsia="方正小标宋_GBK" w:cs="方正小标宋_GBK"/>
      <w:color w:val="000000"/>
      <w:sz w:val="40"/>
      <w:szCs w:val="40"/>
      <w:u w:val="none"/>
    </w:rPr>
  </w:style>
  <w:style w:type="character" w:customStyle="1" w:styleId="19">
    <w:name w:val="font112"/>
    <w:basedOn w:val="10"/>
    <w:qFormat/>
    <w:uiPriority w:val="0"/>
    <w:rPr>
      <w:rFonts w:hint="eastAsia" w:ascii="宋体" w:hAnsi="宋体" w:eastAsia="宋体" w:cs="宋体"/>
      <w:b/>
      <w:bCs/>
      <w:color w:val="000000"/>
      <w:sz w:val="22"/>
      <w:szCs w:val="22"/>
      <w:u w:val="none"/>
    </w:rPr>
  </w:style>
  <w:style w:type="character" w:customStyle="1" w:styleId="20">
    <w:name w:val="font61"/>
    <w:basedOn w:val="10"/>
    <w:qFormat/>
    <w:uiPriority w:val="0"/>
    <w:rPr>
      <w:rFonts w:ascii="方正黑体_GBK" w:hAnsi="方正黑体_GBK" w:eastAsia="方正黑体_GBK" w:cs="方正黑体_GBK"/>
      <w:color w:val="000000"/>
      <w:sz w:val="22"/>
      <w:szCs w:val="22"/>
      <w:u w:val="none"/>
    </w:rPr>
  </w:style>
  <w:style w:type="character" w:customStyle="1" w:styleId="21">
    <w:name w:val="font71"/>
    <w:basedOn w:val="10"/>
    <w:qFormat/>
    <w:uiPriority w:val="0"/>
    <w:rPr>
      <w:rFonts w:ascii="方正小标宋_GBK" w:hAnsi="方正小标宋_GBK" w:eastAsia="方正小标宋_GBK" w:cs="方正小标宋_GBK"/>
      <w:color w:val="000000"/>
      <w:sz w:val="40"/>
      <w:szCs w:val="40"/>
      <w:u w:val="none"/>
    </w:rPr>
  </w:style>
  <w:style w:type="character" w:customStyle="1" w:styleId="22">
    <w:name w:val="font81"/>
    <w:basedOn w:val="10"/>
    <w:qFormat/>
    <w:uiPriority w:val="0"/>
    <w:rPr>
      <w:rFonts w:ascii="方正楷体_GBK" w:hAnsi="方正楷体_GBK" w:eastAsia="方正楷体_GBK" w:cs="方正楷体_GBK"/>
      <w:color w:val="000000"/>
      <w:sz w:val="22"/>
      <w:szCs w:val="22"/>
      <w:u w:val="none"/>
    </w:rPr>
  </w:style>
  <w:style w:type="character" w:customStyle="1" w:styleId="23">
    <w:name w:val="font51"/>
    <w:basedOn w:val="10"/>
    <w:qFormat/>
    <w:uiPriority w:val="0"/>
    <w:rPr>
      <w:rFonts w:hint="default" w:ascii="Times New Roman" w:hAnsi="Times New Roman" w:cs="Times New Roman"/>
      <w:b/>
      <w:bCs/>
      <w:color w:val="000000"/>
      <w:sz w:val="22"/>
      <w:szCs w:val="22"/>
      <w:u w:val="none"/>
    </w:rPr>
  </w:style>
  <w:style w:type="character" w:customStyle="1" w:styleId="24">
    <w:name w:val="font11"/>
    <w:basedOn w:val="10"/>
    <w:qFormat/>
    <w:uiPriority w:val="0"/>
    <w:rPr>
      <w:rFonts w:hint="eastAsia" w:ascii="方正黑体_GBK" w:hAnsi="方正黑体_GBK" w:eastAsia="方正黑体_GBK" w:cs="方正黑体_GBK"/>
      <w:color w:val="000000"/>
      <w:sz w:val="22"/>
      <w:szCs w:val="22"/>
      <w:u w:val="none"/>
    </w:rPr>
  </w:style>
  <w:style w:type="character" w:customStyle="1" w:styleId="25">
    <w:name w:val="font111"/>
    <w:basedOn w:val="10"/>
    <w:qFormat/>
    <w:uiPriority w:val="0"/>
    <w:rPr>
      <w:rFonts w:ascii="方正黑体_GBK" w:hAnsi="方正黑体_GBK" w:eastAsia="方正黑体_GBK" w:cs="方正黑体_GBK"/>
      <w:color w:val="000000"/>
      <w:sz w:val="22"/>
      <w:szCs w:val="22"/>
      <w:u w:val="none"/>
    </w:rPr>
  </w:style>
  <w:style w:type="character" w:customStyle="1" w:styleId="26">
    <w:name w:val="font12"/>
    <w:basedOn w:val="10"/>
    <w:qFormat/>
    <w:uiPriority w:val="0"/>
    <w:rPr>
      <w:rFonts w:hint="default" w:ascii="Times New Roman" w:hAnsi="Times New Roman" w:cs="Times New Roman"/>
      <w:color w:val="000000"/>
      <w:sz w:val="22"/>
      <w:szCs w:val="22"/>
      <w:u w:val="none"/>
    </w:rPr>
  </w:style>
  <w:style w:type="character" w:customStyle="1" w:styleId="27">
    <w:name w:val="font122"/>
    <w:basedOn w:val="10"/>
    <w:qFormat/>
    <w:uiPriority w:val="0"/>
    <w:rPr>
      <w:rFonts w:hint="eastAsia" w:ascii="宋体" w:hAnsi="宋体" w:eastAsia="宋体" w:cs="宋体"/>
      <w:b/>
      <w:bCs/>
      <w:color w:val="000000"/>
      <w:sz w:val="22"/>
      <w:szCs w:val="22"/>
      <w:u w:val="none"/>
    </w:rPr>
  </w:style>
  <w:style w:type="character" w:customStyle="1" w:styleId="28">
    <w:name w:val="font131"/>
    <w:basedOn w:val="10"/>
    <w:qFormat/>
    <w:uiPriority w:val="0"/>
    <w:rPr>
      <w:rFonts w:hint="eastAsia" w:ascii="宋体" w:hAnsi="宋体" w:eastAsia="宋体" w:cs="宋体"/>
      <w:b/>
      <w:bCs/>
      <w:color w:val="000000"/>
      <w:sz w:val="24"/>
      <w:szCs w:val="24"/>
      <w:u w:val="none"/>
    </w:rPr>
  </w:style>
  <w:style w:type="character" w:customStyle="1" w:styleId="29">
    <w:name w:val="font141"/>
    <w:basedOn w:val="10"/>
    <w:qFormat/>
    <w:uiPriority w:val="0"/>
    <w:rPr>
      <w:rFonts w:ascii="微软雅黑" w:hAnsi="微软雅黑" w:eastAsia="微软雅黑" w:cs="微软雅黑"/>
      <w:b/>
      <w:bCs/>
      <w:color w:val="000000"/>
      <w:sz w:val="28"/>
      <w:szCs w:val="28"/>
      <w:u w:val="none"/>
    </w:rPr>
  </w:style>
  <w:style w:type="paragraph" w:styleId="30">
    <w:name w:val="List Paragraph"/>
    <w:basedOn w:val="1"/>
    <w:qFormat/>
    <w:uiPriority w:val="34"/>
    <w:pPr>
      <w:ind w:firstLine="420" w:firstLineChars="200"/>
    </w:pPr>
    <w:rPr>
      <w:rFonts w:ascii="Calibri" w:hAnsi="Calibri"/>
      <w:szCs w:val="22"/>
    </w:rPr>
  </w:style>
  <w:style w:type="character" w:customStyle="1" w:styleId="31">
    <w:name w:val="font01"/>
    <w:basedOn w:val="10"/>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2346</Words>
  <Characters>2545</Characters>
  <Lines>0</Lines>
  <Paragraphs>0</Paragraphs>
  <TotalTime>0</TotalTime>
  <ScaleCrop>false</ScaleCrop>
  <LinksUpToDate>false</LinksUpToDate>
  <CharactersWithSpaces>2627</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2026-01-08T06:35:00Z</dcterms:created>
  <dc:creator>lenovo</dc:creator>
  <cp:lastModifiedBy>彭剑</cp:lastModifiedBy>
  <cp:lastPrinted>2026-01-29T07:59:00Z</cp:lastPrinted>
  <dcterms:modified xsi:type="dcterms:W3CDTF">2026-03-11T09:33:46Z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ICV">
    <vt:lpwstr>44EBD8EDD8640457B1DF7969AD70809F_43</vt:lpwstr>
  </property>
  <property fmtid="{D5CDD505-2E9C-101B-9397-08002B2CF9AE}" pid="4" name="KSOTemplateDocerSaveRecord">
    <vt:lpwstr>eyJoZGlkIjoiNDBmMjlmMjJhZTBkZDg0ODRkNGQ2NmM2NGFjZWEyMGYiLCJ1c2VySWQiOiIxNjM0ODkwNDUyIn0=</vt:lpwstr>
  </property>
</Properties>
</file>