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_GBK" w:cs="Times New Roman"/>
          <w:b/>
          <w:color w:val="FF0000"/>
          <w:spacing w:val="6"/>
          <w:w w:val="51"/>
          <w:sz w:val="130"/>
          <w:szCs w:val="130"/>
        </w:rPr>
      </w:pPr>
    </w:p>
    <w:p>
      <w:pPr>
        <w:jc w:val="center"/>
        <w:rPr>
          <w:rFonts w:hint="default" w:ascii="Times New Roman" w:hAnsi="Times New Roman" w:eastAsia="方正小标宋_GBK" w:cs="Times New Roman"/>
          <w:b/>
          <w:color w:val="FF0000"/>
          <w:spacing w:val="6"/>
          <w:w w:val="51"/>
          <w:sz w:val="130"/>
          <w:szCs w:val="130"/>
        </w:rPr>
      </w:pPr>
      <w:r>
        <w:rPr>
          <w:rFonts w:hint="default" w:ascii="Times New Roman" w:hAnsi="Times New Roman" w:eastAsia="方正小标宋_GBK" w:cs="Times New Roman"/>
          <w:b/>
          <w:color w:val="FF0000"/>
          <w:spacing w:val="6"/>
          <w:w w:val="51"/>
          <w:sz w:val="130"/>
          <w:szCs w:val="130"/>
        </w:rPr>
        <w:t>重庆市开州区长沙镇人民政府</w:t>
      </w:r>
    </w:p>
    <w:p>
      <w:pPr>
        <w:keepNext w:val="0"/>
        <w:keepLines w:val="0"/>
        <w:pageBreakBefore w:val="0"/>
        <w:widowControl w:val="0"/>
        <w:tabs>
          <w:tab w:val="left" w:pos="4282"/>
        </w:tabs>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方正楷体_GBK" w:cs="Times New Roman"/>
          <w:b/>
          <w:color w:val="FF0000"/>
          <w:spacing w:val="-20"/>
          <w:sz w:val="32"/>
          <w:szCs w:val="32"/>
          <w:lang w:val="en-US" w:eastAsia="zh-CN"/>
        </w:rPr>
      </w:pPr>
      <w:r>
        <w:rPr>
          <w:rFonts w:hint="default" w:ascii="Times New Roman" w:hAnsi="Times New Roman" w:eastAsia="方正仿宋_GBK" w:cs="Times New Roman"/>
          <w:sz w:val="32"/>
          <w:szCs w:val="32"/>
        </w:rPr>
        <w:t>开州长府文〔202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签发人：</w:t>
      </w:r>
      <w:r>
        <w:rPr>
          <w:rFonts w:hint="eastAsia" w:ascii="Times New Roman" w:hAnsi="Times New Roman" w:eastAsia="方正楷体_GBK" w:cs="Times New Roman"/>
          <w:sz w:val="32"/>
          <w:szCs w:val="32"/>
          <w:lang w:eastAsia="zh-CN"/>
        </w:rPr>
        <w:t>李刚</w:t>
      </w:r>
      <w:r>
        <w:rPr>
          <w:rFonts w:hint="default" w:ascii="Times New Roman" w:hAnsi="Times New Roman" w:eastAsia="方正楷体_GBK" w:cs="Times New Roman"/>
          <w:sz w:val="32"/>
          <w:szCs w:val="32"/>
          <w:lang w:val="en-US" w:eastAsia="zh-CN"/>
        </w:rPr>
        <w:t xml:space="preserve"> </w:t>
      </w:r>
    </w:p>
    <w:p>
      <w:pPr>
        <w:keepNext w:val="0"/>
        <w:keepLines w:val="0"/>
        <w:pageBreakBefore w:val="0"/>
        <w:widowControl w:val="0"/>
        <w:tabs>
          <w:tab w:val="left" w:pos="4282"/>
        </w:tabs>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b/>
          <w:color w:val="FF0000"/>
          <w:spacing w:val="-20"/>
          <w:sz w:val="52"/>
          <w:szCs w:val="5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175260</wp:posOffset>
                </wp:positionV>
                <wp:extent cx="5615940" cy="0"/>
                <wp:effectExtent l="0" t="13970" r="3810" b="2413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5pt;margin-top:13.8pt;height:0pt;width:442.2pt;z-index:251659264;mso-width-relative:page;mso-height-relative:page;" filled="f" stroked="t" coordsize="21600,21600" o:gfxdata="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h1K99UAAAAHAQAADwAAAAAAAAABACAAAAAiAAAAZHJzL2Rvd25yZXYueG1sUEsB&#10;AhQAFAAAAAgAh07iQHn4V2H4AQAA5QMAAA4AAAAAAAAAAQAgAAAAJAEAAGRycy9lMm9Eb2MueG1s&#10;UEsFBgAAAAAGAAYAWQEAAI4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重庆市开州区长沙镇人民政府</w:t>
      </w:r>
      <w:r>
        <w:rPr>
          <w:rFonts w:hint="eastAsia" w:ascii="Times New Roman" w:hAnsi="Times New Roman" w:eastAsia="方正小标宋_GBK" w:cs="Times New Roman"/>
          <w:sz w:val="44"/>
          <w:szCs w:val="44"/>
          <w:lang w:val="en-US" w:eastAsia="zh-CN"/>
        </w:rPr>
        <w:t xml:space="preserve"> </w:t>
      </w:r>
    </w:p>
    <w:p>
      <w:pPr>
        <w:pStyle w:val="5"/>
        <w:keepNext w:val="0"/>
        <w:keepLines w:val="0"/>
        <w:pageBreakBefore w:val="0"/>
        <w:widowControl w:val="0"/>
        <w:kinsoku/>
        <w:wordWrap/>
        <w:overflowPunct/>
        <w:topLinePunct w:val="0"/>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关于</w:t>
      </w:r>
      <w:r>
        <w:rPr>
          <w:rFonts w:hint="eastAsia" w:ascii="Times New Roman" w:hAnsi="Times New Roman" w:eastAsia="方正小标宋_GBK" w:cs="Times New Roman"/>
          <w:sz w:val="44"/>
          <w:szCs w:val="44"/>
          <w:highlight w:val="none"/>
          <w:lang w:val="en-US" w:eastAsia="zh-CN"/>
        </w:rPr>
        <w:t>长沙镇政府（本级）</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color w:val="000000"/>
          <w:sz w:val="44"/>
          <w:szCs w:val="44"/>
          <w:highlight w:val="none"/>
        </w:rPr>
        <w:t>部门</w:t>
      </w:r>
      <w:r>
        <w:rPr>
          <w:rFonts w:hint="default" w:ascii="Times New Roman" w:hAnsi="Times New Roman" w:eastAsia="方正小标宋_GBK" w:cs="Times New Roman"/>
          <w:sz w:val="44"/>
          <w:szCs w:val="44"/>
          <w:highlight w:val="none"/>
        </w:rPr>
        <w:t>预算情况</w:t>
      </w: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sz w:val="44"/>
          <w:szCs w:val="44"/>
          <w:highlight w:val="none"/>
        </w:rPr>
        <w:t>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eastAsia="方正仿宋_GBK"/>
          <w:bCs/>
          <w:sz w:val="32"/>
          <w:szCs w:val="32"/>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eastAsia" w:eastAsia="方正仿宋_GBK"/>
          <w:bCs/>
          <w:sz w:val="32"/>
          <w:szCs w:val="32"/>
          <w:lang w:eastAsia="zh-CN"/>
        </w:rPr>
        <w:t>《</w:t>
      </w:r>
      <w:r>
        <w:rPr>
          <w:rFonts w:hint="eastAsia" w:eastAsia="方正仿宋_GBK"/>
          <w:bCs/>
          <w:sz w:val="32"/>
          <w:szCs w:val="32"/>
          <w:lang w:val="en-US" w:eastAsia="zh-CN"/>
        </w:rPr>
        <w:t>中华人民共和国预算法</w:t>
      </w:r>
      <w:r>
        <w:rPr>
          <w:rFonts w:hint="eastAsia" w:eastAsia="方正仿宋_GBK"/>
          <w:bCs/>
          <w:sz w:val="32"/>
          <w:szCs w:val="32"/>
          <w:lang w:eastAsia="zh-CN"/>
        </w:rPr>
        <w:t>》</w:t>
      </w:r>
      <w:r>
        <w:rPr>
          <w:rFonts w:eastAsia="方正仿宋_GBK"/>
          <w:bCs/>
          <w:sz w:val="32"/>
          <w:szCs w:val="32"/>
        </w:rPr>
        <w:t>，现将重庆市开州区长沙镇人民政府</w:t>
      </w:r>
      <w:r>
        <w:rPr>
          <w:rFonts w:hint="eastAsia" w:eastAsia="方正仿宋_GBK"/>
          <w:bCs/>
          <w:sz w:val="32"/>
          <w:szCs w:val="32"/>
          <w:lang w:eastAsia="zh-CN"/>
        </w:rPr>
        <w:t>（</w:t>
      </w:r>
      <w:r>
        <w:rPr>
          <w:rFonts w:hint="eastAsia" w:eastAsia="方正仿宋_GBK"/>
          <w:bCs/>
          <w:sz w:val="32"/>
          <w:szCs w:val="32"/>
          <w:lang w:val="en-US" w:eastAsia="zh-CN"/>
        </w:rPr>
        <w:t>本级</w:t>
      </w:r>
      <w:r>
        <w:rPr>
          <w:rFonts w:hint="eastAsia" w:eastAsia="方正仿宋_GBK"/>
          <w:bCs/>
          <w:sz w:val="32"/>
          <w:szCs w:val="32"/>
          <w:lang w:eastAsia="zh-CN"/>
        </w:rPr>
        <w:t>）</w:t>
      </w:r>
      <w:r>
        <w:rPr>
          <w:rFonts w:eastAsia="方正仿宋_GBK"/>
          <w:bCs/>
          <w:sz w:val="32"/>
          <w:szCs w:val="32"/>
        </w:rPr>
        <w:t>202</w:t>
      </w:r>
      <w:r>
        <w:rPr>
          <w:rFonts w:hint="eastAsia" w:eastAsia="方正仿宋_GBK"/>
          <w:bCs/>
          <w:sz w:val="32"/>
          <w:szCs w:val="32"/>
          <w:lang w:val="en-US" w:eastAsia="zh-CN"/>
        </w:rPr>
        <w:t>6</w:t>
      </w:r>
      <w:r>
        <w:rPr>
          <w:rFonts w:eastAsia="方正仿宋_GBK"/>
          <w:bCs/>
          <w:sz w:val="32"/>
          <w:szCs w:val="32"/>
        </w:rPr>
        <w:t>年部门预算批复情况公开如下：</w:t>
      </w: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rPr>
      </w:pP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sectPr>
          <w:headerReference r:id="rId3" w:type="default"/>
          <w:footerReference r:id="rId4" w:type="default"/>
          <w:footerReference r:id="rId5" w:type="even"/>
          <w:pgSz w:w="11906" w:h="16838"/>
          <w:pgMar w:top="1984" w:right="1446" w:bottom="1644" w:left="1446" w:header="851" w:footer="1304" w:gutter="0"/>
          <w:cols w:space="0" w:num="1"/>
          <w:rtlGutter w:val="0"/>
          <w:docGrid w:type="lines" w:linePitch="315" w:charSpace="0"/>
        </w:sectPr>
      </w:pP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 xml:space="preserve"> 录</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重庆市开州区长沙镇人民政府（本级）</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重庆市开州区长沙镇人民政府（本级）</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重庆市开州区长沙镇人民政府（本级）</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重庆市开州区长沙镇人民政府（本级）</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重庆市开州区长沙镇人民政府（本级）</w:t>
      </w:r>
      <w:r>
        <w:rPr>
          <w:rFonts w:hint="default" w:ascii="Times New Roman" w:hAnsi="Times New Roman" w:eastAsia="方正仿宋_GBK" w:cs="Times New Roman"/>
          <w:sz w:val="32"/>
          <w:szCs w:val="32"/>
          <w:highlight w:val="none"/>
        </w:rPr>
        <w:t>一般公共预算支出预算表</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重庆市开州区长沙镇人民政府（本级）</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重庆市开州区长沙镇人民政府（本级）</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重庆市开州区长沙镇人民政府（本级）</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重庆市开州区长沙镇人民政府（本级）</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重庆市开州区长沙镇人民政府（本级）</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highlight w:val="none"/>
          <w:lang w:val="en-US" w:eastAsia="zh-CN"/>
        </w:rPr>
        <w:t>重庆市开州区长沙镇人民政府（本级）</w:t>
      </w:r>
      <w:r>
        <w:rPr>
          <w:rFonts w:hint="default" w:ascii="Times New Roman" w:hAnsi="Times New Roman" w:eastAsia="方正仿宋_GBK" w:cs="Times New Roman"/>
          <w:sz w:val="32"/>
          <w:szCs w:val="32"/>
          <w:highlight w:val="none"/>
        </w:rPr>
        <w:t>项目绩效目标表</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cs="Times New Roman"/>
          <w:color w:val="FF0000"/>
          <w:highlight w:val="none"/>
        </w:rPr>
      </w:pP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keepNext w:val="0"/>
        <w:keepLines w:val="0"/>
        <w:pageBreakBefore w:val="0"/>
        <w:widowControl w:val="0"/>
        <w:kinsoku/>
        <w:wordWrap/>
        <w:overflowPunct/>
        <w:topLinePunct w:val="0"/>
        <w:autoSpaceDN/>
        <w:bidi w:val="0"/>
        <w:adjustRightInd/>
        <w:snapToGrid/>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numPr>
          <w:ilvl w:val="0"/>
          <w:numId w:val="0"/>
        </w:numPr>
        <w:kinsoku/>
        <w:wordWrap/>
        <w:overflowPunct/>
        <w:topLinePunct w:val="0"/>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根据《中共重庆市开州区委机构编制委员会关于优化调整</w:t>
      </w:r>
      <w:r>
        <w:rPr>
          <w:rFonts w:hint="eastAsia" w:ascii="Times New Roman" w:hAnsi="Times New Roman" w:eastAsia="方正仿宋_GBK" w:cs="Times New Roman"/>
          <w:color w:val="auto"/>
          <w:sz w:val="32"/>
          <w:szCs w:val="32"/>
          <w:lang w:eastAsia="zh-CN"/>
        </w:rPr>
        <w:t>长沙</w:t>
      </w:r>
      <w:r>
        <w:rPr>
          <w:rFonts w:hint="default"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rPr>
        <w:t>机构设置、职能配置和人员编制的通知》（开州委</w:t>
      </w:r>
      <w:r>
        <w:rPr>
          <w:rFonts w:hint="eastAsia" w:ascii="Times New Roman" w:hAnsi="Times New Roman" w:eastAsia="方正仿宋_GBK" w:cs="Times New Roman"/>
          <w:color w:val="auto"/>
          <w:sz w:val="32"/>
          <w:szCs w:val="32"/>
          <w:lang w:val="en-US" w:eastAsia="zh-CN"/>
        </w:rPr>
        <w:t>编</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24</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71</w:t>
      </w:r>
      <w:r>
        <w:rPr>
          <w:rFonts w:hint="eastAsia" w:ascii="Times New Roman" w:hAnsi="Times New Roman" w:eastAsia="方正仿宋_GBK" w:cs="Times New Roman"/>
          <w:color w:val="auto"/>
          <w:sz w:val="32"/>
          <w:szCs w:val="32"/>
        </w:rPr>
        <w:t>号）文件，</w:t>
      </w:r>
      <w:r>
        <w:rPr>
          <w:rFonts w:hint="eastAsia" w:ascii="Times New Roman" w:hAnsi="Times New Roman" w:eastAsia="方正仿宋_GBK" w:cs="Times New Roman"/>
          <w:color w:val="auto"/>
          <w:sz w:val="32"/>
          <w:szCs w:val="32"/>
          <w:lang w:val="en-US" w:eastAsia="zh-CN"/>
        </w:rPr>
        <w:t>重庆市开州区长沙镇人民政府</w:t>
      </w:r>
      <w:r>
        <w:rPr>
          <w:rFonts w:hint="eastAsia" w:ascii="Times New Roman" w:hAnsi="Times New Roman" w:eastAsia="方正仿宋_GBK" w:cs="Times New Roman"/>
          <w:color w:val="auto"/>
          <w:sz w:val="32"/>
          <w:szCs w:val="32"/>
        </w:rPr>
        <w:t>职能职责是：</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lang w:val="en-US" w:eastAsia="zh-CN"/>
        </w:rPr>
        <w:t>1. 主</w:t>
      </w:r>
      <w:r>
        <w:rPr>
          <w:rFonts w:hint="eastAsia" w:ascii="方正仿宋_GBK" w:hAnsi="方正仿宋_GBK" w:eastAsia="方正仿宋_GBK" w:cs="方正仿宋_GBK"/>
          <w:color w:val="auto"/>
          <w:sz w:val="32"/>
          <w:szCs w:val="32"/>
          <w:lang w:val="en-US" w:eastAsia="zh-CN"/>
        </w:rPr>
        <w:t>要</w:t>
      </w:r>
      <w:r>
        <w:rPr>
          <w:rFonts w:hint="eastAsia" w:ascii="方正仿宋_GBK" w:hAnsi="方正仿宋_GBK" w:eastAsia="方正仿宋_GBK" w:cs="方正仿宋_GBK"/>
          <w:color w:val="auto"/>
          <w:sz w:val="32"/>
          <w:szCs w:val="32"/>
        </w:rPr>
        <w:t>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keepNext w:val="0"/>
        <w:keepLines w:val="0"/>
        <w:pageBreakBefore w:val="0"/>
        <w:widowControl w:val="0"/>
        <w:kinsoku/>
        <w:wordWrap/>
        <w:overflowPunct/>
        <w:topLinePunct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eastAsia" w:ascii="方正仿宋_GBK" w:hAnsi="方正仿宋_GBK" w:eastAsia="方正仿宋_GBK" w:cs="方正仿宋_GBK"/>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sz w:val="32"/>
          <w:szCs w:val="32"/>
        </w:rPr>
        <w:t>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p>
    <w:p>
      <w:pPr>
        <w:keepNext w:val="0"/>
        <w:keepLines w:val="0"/>
        <w:pageBreakBefore w:val="0"/>
        <w:widowControl w:val="0"/>
        <w:kinsoku/>
        <w:wordWrap/>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eastAsia" w:ascii="方正仿宋_GBK" w:hAnsi="方正仿宋_GBK" w:eastAsia="方正仿宋_GBK" w:cs="方正仿宋_GBK"/>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sz w:val="32"/>
          <w:szCs w:val="32"/>
        </w:rPr>
        <w:t>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keepNext w:val="0"/>
        <w:keepLines w:val="0"/>
        <w:pageBreakBefore w:val="0"/>
        <w:widowControl w:val="0"/>
        <w:kinsoku/>
        <w:wordWrap/>
        <w:overflowPunct/>
        <w:topLinePunct w:val="0"/>
        <w:autoSpaceDE w:val="0"/>
        <w:autoSpaceDN/>
        <w:bidi w:val="0"/>
        <w:adjustRightInd/>
        <w:snapToGrid/>
        <w:spacing w:line="594" w:lineRule="exact"/>
        <w:ind w:firstLine="616" w:firstLineChars="20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pacing w:val="-6"/>
          <w:sz w:val="32"/>
          <w:szCs w:val="32"/>
          <w:lang w:val="en-US" w:eastAsia="zh-CN"/>
        </w:rPr>
        <w:t>4</w:t>
      </w:r>
      <w:r>
        <w:rPr>
          <w:rFonts w:hint="eastAsia" w:ascii="方正仿宋_GBK" w:hAnsi="方正仿宋_GBK" w:eastAsia="方正仿宋_GBK" w:cs="方正仿宋_GBK"/>
          <w:color w:val="auto"/>
          <w:sz w:val="32"/>
          <w:szCs w:val="32"/>
          <w:lang w:val="en-US" w:eastAsia="zh-CN"/>
        </w:rPr>
        <w:t xml:space="preserve">. </w:t>
      </w:r>
      <w:r>
        <w:rPr>
          <w:rFonts w:hint="eastAsia" w:ascii="Times New Roman" w:hAnsi="Times New Roman" w:eastAsia="方正仿宋_GBK" w:cs="Times New Roman"/>
          <w:color w:val="auto"/>
          <w:spacing w:val="-6"/>
          <w:sz w:val="32"/>
          <w:szCs w:val="32"/>
          <w:lang w:val="en-US" w:eastAsia="zh-CN"/>
        </w:rPr>
        <w:t>主要</w:t>
      </w:r>
      <w:r>
        <w:rPr>
          <w:rFonts w:hint="default" w:ascii="Times New Roman" w:hAnsi="Times New Roman" w:eastAsia="方正仿宋_GBK" w:cs="Times New Roman"/>
          <w:color w:val="auto"/>
          <w:spacing w:val="-6"/>
          <w:sz w:val="32"/>
          <w:szCs w:val="32"/>
        </w:rPr>
        <w:t>负责民政、教育、卫生健康、退役军人事务、劳动就业、医疗和社会保障、政务服务、老龄事业、残疾人事业、物业管理、廉租住房保障等工作；</w:t>
      </w:r>
      <w:r>
        <w:rPr>
          <w:rFonts w:hint="default" w:ascii="Times New Roman" w:hAnsi="Times New Roman" w:eastAsia="方正仿宋_GBK" w:cs="Times New Roman"/>
          <w:color w:val="auto"/>
          <w:sz w:val="32"/>
          <w:szCs w:val="32"/>
        </w:rPr>
        <w:t>负责落实社会保险、社会救助、社会福利、优抚安置等社会保障政策；负责村（居）民委员会换届选举组织实施和指导工作；负责优化基本公共服务资源配置，统筹公共服务设施空间布局，提供优质高效的便民服务。</w:t>
      </w:r>
    </w:p>
    <w:p>
      <w:pPr>
        <w:keepNext w:val="0"/>
        <w:keepLines w:val="0"/>
        <w:pageBreakBefore w:val="0"/>
        <w:widowControl w:val="0"/>
        <w:kinsoku/>
        <w:wordWrap/>
        <w:overflowPunct/>
        <w:topLinePunct w:val="0"/>
        <w:autoSpaceDE w:val="0"/>
        <w:autoSpaceDN/>
        <w:bidi w:val="0"/>
        <w:adjustRightInd/>
        <w:snapToGrid/>
        <w:spacing w:line="594"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sz w:val="32"/>
          <w:szCs w:val="32"/>
        </w:rPr>
        <w:t>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部门及派驻机构开展其他领域的联合执法；负责兵役、民兵、国防动员等人民武装工作；完善执法协调、公共法律服务、普法依法治理、网上网下联动化解网络舆情风险等机制，推动平安法治和社会治理工作落细落实。</w:t>
      </w:r>
    </w:p>
    <w:p>
      <w:pPr>
        <w:pStyle w:val="30"/>
        <w:keepNext w:val="0"/>
        <w:keepLines w:val="0"/>
        <w:pageBreakBefore w:val="0"/>
        <w:widowControl w:val="0"/>
        <w:tabs>
          <w:tab w:val="center" w:pos="4153"/>
          <w:tab w:val="left" w:pos="7275"/>
        </w:tabs>
        <w:kinsoku/>
        <w:wordWrap/>
        <w:overflowPunct/>
        <w:topLinePunct w:val="0"/>
        <w:autoSpaceDN/>
        <w:bidi w:val="0"/>
        <w:adjustRightInd/>
        <w:snapToGrid/>
        <w:spacing w:line="594"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Times New Roman" w:hAnsi="Times New Roman" w:eastAsia="方正仿宋_GBK" w:cs="Times New Roman"/>
          <w:color w:val="auto"/>
          <w:sz w:val="32"/>
          <w:szCs w:val="32"/>
          <w:lang w:val="en-US" w:eastAsia="zh-CN"/>
        </w:rPr>
        <w:t>长沙镇政府（本级）内设5个科室，分别</w:t>
      </w:r>
      <w:r>
        <w:rPr>
          <w:rFonts w:hint="default" w:ascii="Times New Roman" w:hAnsi="Times New Roman" w:eastAsia="方正仿宋_GBK" w:cs="Times New Roman"/>
          <w:color w:val="auto"/>
          <w:sz w:val="32"/>
          <w:szCs w:val="32"/>
        </w:rPr>
        <w:t>是：</w:t>
      </w:r>
      <w:r>
        <w:rPr>
          <w:rFonts w:hint="default" w:ascii="方正仿宋_GBK" w:hAnsi="方正仿宋_GBK" w:eastAsia="方正仿宋_GBK" w:cs="方正仿宋_GBK"/>
          <w:color w:val="auto"/>
          <w:sz w:val="32"/>
          <w:szCs w:val="32"/>
        </w:rPr>
        <w:t>基层治理</w:t>
      </w:r>
      <w:r>
        <w:rPr>
          <w:rFonts w:hint="eastAsia" w:ascii="方正仿宋_GBK" w:hAnsi="方正仿宋_GBK" w:eastAsia="方正仿宋_GBK" w:cs="方正仿宋_GBK"/>
          <w:color w:val="auto"/>
          <w:sz w:val="32"/>
          <w:szCs w:val="32"/>
        </w:rPr>
        <w:t>综合指挥室</w:t>
      </w:r>
      <w:r>
        <w:rPr>
          <w:rFonts w:hint="eastAsia" w:ascii="方正仿宋_GBK" w:hAnsi="方正仿宋_GBK" w:eastAsia="方正仿宋_GBK" w:cs="方正仿宋_GBK"/>
          <w:color w:val="auto"/>
          <w:sz w:val="32"/>
          <w:szCs w:val="32"/>
          <w:lang w:eastAsia="zh-CN"/>
        </w:rPr>
        <w:t>、</w:t>
      </w:r>
      <w:r>
        <w:rPr>
          <w:rFonts w:hint="default" w:ascii="方正仿宋_GBK" w:hAnsi="方正仿宋_GBK" w:eastAsia="方正仿宋_GBK" w:cs="方正仿宋_GBK"/>
          <w:color w:val="auto"/>
          <w:sz w:val="32"/>
          <w:szCs w:val="32"/>
        </w:rPr>
        <w:t>党的建设办公室</w:t>
      </w:r>
      <w:r>
        <w:rPr>
          <w:rFonts w:hint="eastAsia" w:ascii="方正仿宋_GBK" w:hAnsi="方正仿宋_GBK" w:eastAsia="方正仿宋_GBK" w:cs="方正仿宋_GBK"/>
          <w:color w:val="auto"/>
          <w:sz w:val="32"/>
          <w:szCs w:val="32"/>
          <w:lang w:eastAsia="zh-CN"/>
        </w:rPr>
        <w:t>、</w:t>
      </w:r>
      <w:r>
        <w:rPr>
          <w:rFonts w:hint="default" w:ascii="方正仿宋_GBK" w:hAnsi="方正仿宋_GBK" w:eastAsia="方正仿宋_GBK" w:cs="方正仿宋_GBK"/>
          <w:color w:val="auto"/>
          <w:sz w:val="32"/>
          <w:szCs w:val="32"/>
        </w:rPr>
        <w:t>经济发展办公室</w:t>
      </w:r>
      <w:r>
        <w:rPr>
          <w:rFonts w:hint="eastAsia" w:ascii="方正仿宋_GBK" w:hAnsi="方正仿宋_GBK" w:eastAsia="方正仿宋_GBK" w:cs="方正仿宋_GBK"/>
          <w:color w:val="auto"/>
          <w:sz w:val="32"/>
          <w:szCs w:val="32"/>
          <w:lang w:eastAsia="zh-CN"/>
        </w:rPr>
        <w:t>、</w:t>
      </w:r>
      <w:r>
        <w:rPr>
          <w:rFonts w:hint="default" w:ascii="方正仿宋_GBK" w:hAnsi="方正仿宋_GBK" w:eastAsia="方正仿宋_GBK" w:cs="方正仿宋_GBK"/>
          <w:color w:val="auto"/>
          <w:sz w:val="32"/>
          <w:szCs w:val="32"/>
        </w:rPr>
        <w:t>民生服务办公室</w:t>
      </w:r>
      <w:r>
        <w:rPr>
          <w:rFonts w:hint="eastAsia" w:ascii="方正仿宋_GBK" w:hAnsi="方正仿宋_GBK" w:eastAsia="方正仿宋_GBK" w:cs="方正仿宋_GBK"/>
          <w:color w:val="auto"/>
          <w:sz w:val="32"/>
          <w:szCs w:val="32"/>
          <w:lang w:eastAsia="zh-CN"/>
        </w:rPr>
        <w:t>、</w:t>
      </w:r>
      <w:r>
        <w:rPr>
          <w:rFonts w:hint="default" w:ascii="方正仿宋_GBK" w:hAnsi="方正仿宋_GBK" w:eastAsia="方正仿宋_GBK" w:cs="方正仿宋_GBK"/>
          <w:color w:val="auto"/>
          <w:sz w:val="32"/>
          <w:szCs w:val="32"/>
        </w:rPr>
        <w:t>平安法治办公室</w:t>
      </w:r>
      <w:r>
        <w:rPr>
          <w:rFonts w:hint="eastAsia" w:ascii="方正仿宋_GBK" w:hAnsi="方正仿宋_GBK" w:eastAsia="方正仿宋_GBK" w:cs="方正仿宋_GBK"/>
          <w:color w:val="auto"/>
          <w:sz w:val="32"/>
          <w:szCs w:val="32"/>
          <w:lang w:eastAsia="zh-CN"/>
        </w:rPr>
        <w:t>。</w:t>
      </w:r>
    </w:p>
    <w:p>
      <w:pPr>
        <w:pStyle w:val="3"/>
        <w:keepNext w:val="0"/>
        <w:keepLines w:val="0"/>
        <w:pageBreakBefore w:val="0"/>
        <w:widowControl w:val="0"/>
        <w:kinsoku/>
        <w:wordWrap/>
        <w:overflowPunct/>
        <w:topLinePunct w:val="0"/>
        <w:autoSpaceDN/>
        <w:bidi w:val="0"/>
        <w:adjustRightInd/>
        <w:snapToGrid/>
        <w:spacing w:line="594" w:lineRule="exac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从预算单位构成看，长沙镇政府（本级）属于二级预算单位，主管部门为重庆市开州区长沙镇人民政府。</w:t>
      </w:r>
    </w:p>
    <w:p>
      <w:pPr>
        <w:keepNext w:val="0"/>
        <w:keepLines w:val="0"/>
        <w:pageBreakBefore w:val="0"/>
        <w:widowControl w:val="0"/>
        <w:kinsoku/>
        <w:wordWrap/>
        <w:overflowPunct/>
        <w:topLinePunct w:val="0"/>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3267.80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3267.80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增加3267.80</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镇政府（本级）未作为单独机构核算收入与支出。</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3267.80</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Times New Roman"/>
          <w:sz w:val="32"/>
          <w:highlight w:val="none"/>
          <w:lang w:val="en-US" w:eastAsia="zh-CN"/>
        </w:rPr>
        <w:t>1150.97</w:t>
      </w:r>
      <w:r>
        <w:rPr>
          <w:rFonts w:hint="default" w:ascii="Times New Roman" w:hAnsi="Times New Roman" w:eastAsia="方正仿宋_GBK" w:cs="Times New Roman"/>
          <w:sz w:val="32"/>
          <w:highlight w:val="none"/>
        </w:rPr>
        <w:t>万元，</w:t>
      </w:r>
      <w:r>
        <w:rPr>
          <w:rFonts w:eastAsia="方正仿宋_GBK"/>
          <w:bCs/>
          <w:sz w:val="32"/>
          <w:szCs w:val="32"/>
        </w:rPr>
        <w:t>社会保障和就业支出预算</w:t>
      </w:r>
      <w:r>
        <w:rPr>
          <w:rFonts w:hint="eastAsia" w:eastAsia="方正仿宋_GBK"/>
          <w:bCs/>
          <w:sz w:val="32"/>
          <w:szCs w:val="32"/>
          <w:lang w:val="en-US" w:eastAsia="zh-CN"/>
        </w:rPr>
        <w:t>331.58</w:t>
      </w:r>
      <w:r>
        <w:rPr>
          <w:rFonts w:eastAsia="方正仿宋_GBK"/>
          <w:bCs/>
          <w:sz w:val="32"/>
          <w:szCs w:val="32"/>
        </w:rPr>
        <w:t>万元，卫生健康支出预算</w:t>
      </w:r>
      <w:r>
        <w:rPr>
          <w:rFonts w:hint="eastAsia" w:eastAsia="方正仿宋_GBK"/>
          <w:bCs/>
          <w:sz w:val="32"/>
          <w:szCs w:val="32"/>
          <w:lang w:val="en-US" w:eastAsia="zh-CN"/>
        </w:rPr>
        <w:t>103.36</w:t>
      </w:r>
      <w:r>
        <w:rPr>
          <w:rFonts w:eastAsia="方正仿宋_GBK"/>
          <w:bCs/>
          <w:sz w:val="32"/>
          <w:szCs w:val="32"/>
        </w:rPr>
        <w:t>万元，节能环保支出预算</w:t>
      </w:r>
      <w:r>
        <w:rPr>
          <w:rFonts w:hint="eastAsia" w:eastAsia="方正仿宋_GBK"/>
          <w:bCs/>
          <w:sz w:val="32"/>
          <w:szCs w:val="32"/>
          <w:lang w:val="en-US" w:eastAsia="zh-CN"/>
        </w:rPr>
        <w:t>238.54</w:t>
      </w:r>
      <w:r>
        <w:rPr>
          <w:rFonts w:eastAsia="方正仿宋_GBK"/>
          <w:bCs/>
          <w:sz w:val="32"/>
          <w:szCs w:val="32"/>
        </w:rPr>
        <w:t>万元，城乡社区支出预算</w:t>
      </w:r>
      <w:r>
        <w:rPr>
          <w:rFonts w:hint="eastAsia" w:eastAsia="方正仿宋_GBK"/>
          <w:bCs/>
          <w:sz w:val="32"/>
          <w:szCs w:val="32"/>
          <w:lang w:val="en-US" w:eastAsia="zh-CN"/>
        </w:rPr>
        <w:t>193.00</w:t>
      </w:r>
      <w:r>
        <w:rPr>
          <w:rFonts w:eastAsia="方正仿宋_GBK"/>
          <w:bCs/>
          <w:sz w:val="32"/>
          <w:szCs w:val="32"/>
        </w:rPr>
        <w:t>万元，农林水支出预算</w:t>
      </w:r>
      <w:r>
        <w:rPr>
          <w:rFonts w:hint="eastAsia" w:eastAsia="方正仿宋_GBK"/>
          <w:bCs/>
          <w:sz w:val="32"/>
          <w:szCs w:val="32"/>
          <w:lang w:val="en-US" w:eastAsia="zh-CN"/>
        </w:rPr>
        <w:t>1149.84</w:t>
      </w:r>
      <w:r>
        <w:rPr>
          <w:rFonts w:eastAsia="方正仿宋_GBK"/>
          <w:bCs/>
          <w:sz w:val="32"/>
          <w:szCs w:val="32"/>
        </w:rPr>
        <w:t>万元，住房保障支出预算</w:t>
      </w:r>
      <w:r>
        <w:rPr>
          <w:rFonts w:hint="eastAsia" w:eastAsia="方正仿宋_GBK"/>
          <w:bCs/>
          <w:sz w:val="32"/>
          <w:szCs w:val="32"/>
          <w:lang w:val="en-US" w:eastAsia="zh-CN"/>
        </w:rPr>
        <w:t>100.51</w:t>
      </w:r>
      <w:r>
        <w:rPr>
          <w:rFonts w:eastAsia="方正仿宋_GBK"/>
          <w:bCs/>
          <w:sz w:val="32"/>
          <w:szCs w:val="32"/>
        </w:rPr>
        <w:t>万元。支出预算较202</w:t>
      </w:r>
      <w:r>
        <w:rPr>
          <w:rFonts w:hint="eastAsia" w:eastAsia="方正仿宋_GBK"/>
          <w:bCs/>
          <w:sz w:val="32"/>
          <w:szCs w:val="32"/>
          <w:lang w:val="en-US" w:eastAsia="zh-CN"/>
        </w:rPr>
        <w:t>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增加3267.80</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镇政府（本级）未作为单独机构核算收入与支出。</w:t>
      </w:r>
    </w:p>
    <w:p>
      <w:pPr>
        <w:keepNext w:val="0"/>
        <w:keepLines w:val="0"/>
        <w:pageBreakBefore w:val="0"/>
        <w:widowControl w:val="0"/>
        <w:kinsoku/>
        <w:wordWrap/>
        <w:overflowPunct/>
        <w:topLinePunct w:val="0"/>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3267.80</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3267.80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3267.80</w:t>
      </w:r>
      <w:r>
        <w:rPr>
          <w:rFonts w:hint="default" w:ascii="Times New Roman" w:hAnsi="Times New Roman" w:eastAsia="方正仿宋_GBK" w:cs="Times New Roman"/>
          <w:sz w:val="32"/>
          <w:highlight w:val="none"/>
        </w:rPr>
        <w:t xml:space="preserve">万元。其中：基本支出 </w:t>
      </w:r>
      <w:r>
        <w:rPr>
          <w:rFonts w:hint="eastAsia" w:ascii="Times New Roman" w:hAnsi="Times New Roman" w:eastAsia="方正仿宋_GBK" w:cs="Times New Roman"/>
          <w:sz w:val="32"/>
          <w:highlight w:val="none"/>
          <w:lang w:val="en-US" w:eastAsia="zh-CN"/>
        </w:rPr>
        <w:t>2641.17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增加2641.17</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镇政府（本级）未作为单独机构核算收入与支出，</w:t>
      </w:r>
      <w:r>
        <w:rPr>
          <w:rFonts w:hint="default" w:ascii="Times New Roman" w:hAnsi="Times New Roman" w:eastAsia="方正仿宋_GBK" w:cs="Times New Roman"/>
          <w:sz w:val="32"/>
          <w:highlight w:val="none"/>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highlight w:val="none"/>
          <w:lang w:val="en-US" w:eastAsia="zh-CN"/>
        </w:rPr>
        <w:t>626.63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增加626.63</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镇政府（本级）未作为单独机构核算收入与支出，</w:t>
      </w:r>
      <w:r>
        <w:rPr>
          <w:rFonts w:hint="default" w:ascii="Times New Roman" w:hAnsi="Times New Roman" w:eastAsia="方正仿宋_GBK" w:cs="Times New Roman"/>
          <w:sz w:val="32"/>
          <w:highlight w:val="none"/>
        </w:rPr>
        <w:t>主要用于城镇规划建设、农村环境日常维护、农村公路建设管护、治安综合治理、信访稳定、安全生产管理和督查、乡镇自行制定的公共服务、垃圾收运及场镇清扫保洁、垃圾车维修保养和保险费及应对预算执行中各项新增支出需求等重点工作等重点工作。</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重庆市开州区长沙镇人民政府（本级）</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预算无使用</w:t>
      </w:r>
      <w:r>
        <w:rPr>
          <w:rFonts w:hint="default" w:ascii="Times New Roman" w:hAnsi="Times New Roman" w:eastAsia="方正仿宋_GBK" w:cs="Times New Roman"/>
          <w:sz w:val="32"/>
          <w:highlight w:val="none"/>
        </w:rPr>
        <w:t>政府性基金预算拨款</w:t>
      </w:r>
      <w:r>
        <w:rPr>
          <w:rFonts w:hint="eastAsia" w:ascii="Times New Roman" w:hAnsi="Times New Roman" w:eastAsia="方正仿宋_GBK" w:cs="Times New Roman"/>
          <w:sz w:val="32"/>
          <w:highlight w:val="none"/>
          <w:lang w:val="en-US" w:eastAsia="zh-CN"/>
        </w:rPr>
        <w:t>安排</w:t>
      </w:r>
      <w:r>
        <w:rPr>
          <w:rFonts w:hint="default" w:ascii="Times New Roman" w:hAnsi="Times New Roman" w:eastAsia="方正仿宋_GBK" w:cs="Times New Roman"/>
          <w:sz w:val="32"/>
          <w:highlight w:val="none"/>
        </w:rPr>
        <w:t>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autoSpaceDN/>
        <w:bidi w:val="0"/>
        <w:adjustRightInd/>
        <w:snapToGrid/>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11.50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4.50</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公务接待费</w:t>
      </w:r>
      <w:r>
        <w:rPr>
          <w:rFonts w:hint="eastAsia" w:ascii="Times New Roman" w:hAnsi="Times New Roman" w:eastAsia="方正仿宋_GBK" w:cs="Times New Roman"/>
          <w:sz w:val="32"/>
          <w:highlight w:val="none"/>
          <w:lang w:val="en-US" w:eastAsia="zh-CN"/>
        </w:rPr>
        <w:t>4.50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4.50</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统计口径发生变化的原因</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w:t>
      </w:r>
    </w:p>
    <w:p>
      <w:pPr>
        <w:keepNext w:val="0"/>
        <w:keepLines w:val="0"/>
        <w:pageBreakBefore w:val="0"/>
        <w:widowControl w:val="0"/>
        <w:kinsoku/>
        <w:wordWrap/>
        <w:overflowPunct/>
        <w:topLinePunct w:val="0"/>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sz w:val="32"/>
          <w:szCs w:val="32"/>
          <w:highlight w:val="none"/>
        </w:rPr>
        <w:t>（一）</w:t>
      </w:r>
      <w:r>
        <w:rPr>
          <w:rFonts w:hint="eastAsia" w:ascii="方正楷体_GBK" w:hAnsi="方正楷体_GBK" w:eastAsia="方正楷体_GBK" w:cs="方正楷体_GBK"/>
          <w:sz w:val="32"/>
          <w:highlight w:val="none"/>
        </w:rPr>
        <w:t>机关运行经费</w:t>
      </w:r>
      <w:r>
        <w:rPr>
          <w:rFonts w:hint="eastAsia" w:ascii="方正楷体_GBK" w:hAnsi="方正楷体_GBK" w:eastAsia="方正楷体_GBK" w:cs="方正楷体_GBK"/>
          <w:color w:val="FF0000"/>
          <w:sz w:val="32"/>
          <w:highlight w:val="none"/>
        </w:rPr>
        <w:t>。</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年一般公共预算财政拨款运行经费</w:t>
      </w:r>
      <w:r>
        <w:rPr>
          <w:rFonts w:hint="eastAsia" w:ascii="Times New Roman" w:hAnsi="Times New Roman" w:eastAsia="方正仿宋_GBK" w:cs="Times New Roman"/>
          <w:color w:val="auto"/>
          <w:sz w:val="32"/>
          <w:highlight w:val="none"/>
          <w:lang w:val="en-US" w:eastAsia="zh-CN"/>
        </w:rPr>
        <w:t>1140.01</w:t>
      </w:r>
      <w:r>
        <w:rPr>
          <w:rFonts w:hint="default" w:ascii="Times New Roman" w:hAnsi="Times New Roman" w:eastAsia="方正仿宋_GBK" w:cs="Times New Roman"/>
          <w:color w:val="auto"/>
          <w:sz w:val="32"/>
          <w:highlight w:val="none"/>
        </w:rPr>
        <w:t>万元，比上年</w:t>
      </w:r>
      <w:r>
        <w:rPr>
          <w:rFonts w:hint="eastAsia" w:ascii="Times New Roman" w:hAnsi="Times New Roman" w:eastAsia="方正仿宋_GBK" w:cs="Times New Roman"/>
          <w:color w:val="auto"/>
          <w:sz w:val="32"/>
          <w:highlight w:val="none"/>
          <w:lang w:val="en-US" w:eastAsia="zh-CN"/>
        </w:rPr>
        <w:t>增加1140.01</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sz w:val="32"/>
          <w:highlight w:val="none"/>
        </w:rPr>
        <w:t>主要原因是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镇政府（本级）未作为单独机构核算收入与支出</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（二）政府采购情况。</w:t>
      </w:r>
      <w:r>
        <w:rPr>
          <w:rFonts w:hint="default"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10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10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10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10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626.63</w:t>
      </w:r>
      <w:r>
        <w:rPr>
          <w:rFonts w:hint="default" w:ascii="Times New Roman" w:hAnsi="Times New Roman" w:eastAsia="方正仿宋_GBK" w:cs="Times New Roman"/>
          <w:color w:val="000000"/>
          <w:sz w:val="32"/>
          <w:highlight w:val="none"/>
        </w:rPr>
        <w:t>万元。</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年12月，所属各预算单位共有车辆</w:t>
      </w:r>
      <w:r>
        <w:rPr>
          <w:rFonts w:hint="eastAsia" w:ascii="Times New Roman" w:hAnsi="Times New Roman" w:eastAsia="方正仿宋_GBK" w:cs="Times New Roman"/>
          <w:color w:val="000000"/>
          <w:sz w:val="32"/>
          <w:highlight w:val="none"/>
          <w:lang w:val="en-US" w:eastAsia="zh-CN"/>
        </w:rPr>
        <w:t>2</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30"/>
        <w:keepNext w:val="0"/>
        <w:keepLines w:val="0"/>
        <w:pageBreakBefore w:val="0"/>
        <w:widowControl w:val="0"/>
        <w:tabs>
          <w:tab w:val="center" w:pos="4153"/>
          <w:tab w:val="left" w:pos="7275"/>
        </w:tabs>
        <w:kinsoku/>
        <w:wordWrap/>
        <w:overflowPunct/>
        <w:topLinePunct w:val="0"/>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方正楷体_GBK" w:hAnsi="方正楷体_GBK" w:eastAsia="方正楷体_GBK" w:cs="方正楷体_GBK"/>
          <w:kern w:val="2"/>
          <w:sz w:val="32"/>
          <w:szCs w:val="32"/>
          <w:highlight w:val="none"/>
          <w:lang w:val="en-US" w:eastAsia="zh-CN" w:bidi="ar-SA"/>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30"/>
        <w:keepNext w:val="0"/>
        <w:keepLines w:val="0"/>
        <w:pageBreakBefore w:val="0"/>
        <w:widowControl w:val="0"/>
        <w:tabs>
          <w:tab w:val="center" w:pos="4153"/>
          <w:tab w:val="left" w:pos="7275"/>
        </w:tabs>
        <w:kinsoku/>
        <w:wordWrap/>
        <w:overflowPunct/>
        <w:topLinePunct w:val="0"/>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30"/>
        <w:keepNext w:val="0"/>
        <w:keepLines w:val="0"/>
        <w:pageBreakBefore w:val="0"/>
        <w:widowControl w:val="0"/>
        <w:tabs>
          <w:tab w:val="center" w:pos="4153"/>
          <w:tab w:val="left" w:pos="7275"/>
        </w:tabs>
        <w:kinsoku/>
        <w:wordWrap/>
        <w:overflowPunct/>
        <w:topLinePunct w:val="0"/>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30"/>
        <w:keepNext w:val="0"/>
        <w:keepLines w:val="0"/>
        <w:pageBreakBefore w:val="0"/>
        <w:widowControl w:val="0"/>
        <w:tabs>
          <w:tab w:val="center" w:pos="4153"/>
          <w:tab w:val="left" w:pos="7275"/>
        </w:tabs>
        <w:kinsoku/>
        <w:wordWrap/>
        <w:overflowPunct/>
        <w:topLinePunct w:val="0"/>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sectPr>
          <w:pgSz w:w="11906" w:h="16838"/>
          <w:pgMar w:top="1984" w:right="1446" w:bottom="1644" w:left="1446" w:header="851" w:footer="1304" w:gutter="0"/>
          <w:cols w:space="0" w:num="1"/>
          <w:rtlGutter w:val="0"/>
          <w:docGrid w:type="lines" w:linePitch="315" w:charSpace="0"/>
        </w:sectPr>
      </w:pP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val="en-US" w:eastAsia="zh-CN"/>
        </w:rPr>
        <w:t>重庆市开州区长沙镇人民政府</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王柳</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52533905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重庆市开州区长沙镇人民政府    </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日</w:t>
      </w:r>
      <w:bookmarkStart w:id="0" w:name="_GoBack"/>
      <w:bookmarkEnd w:id="0"/>
      <w:r>
        <w:rPr>
          <w:rFonts w:hint="eastAsia"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tabs>
          <w:tab w:val="left" w:pos="1440"/>
        </w:tabs>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黑体_GBK" w:cs="Times New Roman"/>
          <w:color w:val="auto"/>
          <w:sz w:val="32"/>
          <w:szCs w:val="32"/>
          <w:highlight w:val="none"/>
        </w:rPr>
      </w:pP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lang w:val="en-US" w:eastAsia="zh-CN"/>
        </w:rPr>
      </w:pPr>
    </w:p>
    <w:p>
      <w:pPr>
        <w:pStyle w:val="2"/>
        <w:rPr>
          <w:rFonts w:hint="default"/>
          <w:lang w:val="en-US" w:eastAsia="zh-CN"/>
        </w:rPr>
      </w:pPr>
    </w:p>
    <w:p>
      <w:pPr>
        <w:rPr>
          <w:rFonts w:hint="default"/>
          <w:lang w:val="en-US" w:eastAsia="zh-CN"/>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60" w:lineRule="exact"/>
        <w:ind w:firstLine="280" w:firstLineChars="100"/>
        <w:jc w:val="left"/>
        <w:textAlignment w:val="auto"/>
        <w:rPr>
          <w:rFonts w:hint="default"/>
          <w:lang w:val="en-US" w:eastAsia="zh-CN"/>
        </w:rPr>
      </w:pPr>
      <w:r>
        <w:rPr>
          <w:rFonts w:hint="default" w:ascii="Times New Roman" w:hAnsi="Times New Roman" w:eastAsia="方正仿宋_GBK" w:cs="Times New Roman"/>
          <w:sz w:val="28"/>
          <w:szCs w:val="28"/>
        </w:rPr>
        <w:t>重庆市开州区长沙镇</w:t>
      </w:r>
      <w:r>
        <w:rPr>
          <w:rFonts w:hint="default" w:ascii="Times New Roman" w:hAnsi="Times New Roman" w:eastAsia="方正仿宋_GBK" w:cs="Times New Roman"/>
          <w:sz w:val="28"/>
          <w:szCs w:val="28"/>
          <w:lang w:eastAsia="zh-CN"/>
        </w:rPr>
        <w:t>基层治理综合指挥室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日印发</w:t>
      </w:r>
      <w:r>
        <w:rPr>
          <w:rFonts w:hint="default" w:ascii="Times New Roman" w:hAnsi="Times New Roman" w:eastAsia="方正仿宋_GBK" w:cs="Times New Roman"/>
          <w:sz w:val="28"/>
          <w:szCs w:val="28"/>
          <w:lang w:val="en-US" w:eastAsia="zh-CN"/>
        </w:rPr>
        <w:t xml:space="preserve">  </w:t>
      </w:r>
    </w:p>
    <w:sectPr>
      <w:pgSz w:w="11906" w:h="16838"/>
      <w:pgMar w:top="1984" w:right="1446" w:bottom="1644" w:left="1446" w:header="851" w:footer="1304"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128" w:rightChars="61"/>
      <w:jc w:val="right"/>
    </w:pPr>
    <w:r>
      <w:rPr>
        <w:rStyle w:val="12"/>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12"/>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26"/>
      </w:tabs>
      <w:wordWrap w:val="0"/>
      <w:ind w:left="279" w:leftChars="133" w:right="560"/>
    </w:pPr>
    <w:r>
      <w:rPr>
        <w:rStyle w:val="12"/>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12"/>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evenAndOddHeaders w:val="1"/>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1407"/>
    <w:rsid w:val="00FA00A3"/>
    <w:rsid w:val="01390BCC"/>
    <w:rsid w:val="01791910"/>
    <w:rsid w:val="01D86637"/>
    <w:rsid w:val="030A6CC4"/>
    <w:rsid w:val="036A59B4"/>
    <w:rsid w:val="03B95FF4"/>
    <w:rsid w:val="04387860"/>
    <w:rsid w:val="04763EE5"/>
    <w:rsid w:val="05241B93"/>
    <w:rsid w:val="0563090D"/>
    <w:rsid w:val="06EF3697"/>
    <w:rsid w:val="070B5F00"/>
    <w:rsid w:val="072432CE"/>
    <w:rsid w:val="07A877C1"/>
    <w:rsid w:val="07BA233A"/>
    <w:rsid w:val="07EF6488"/>
    <w:rsid w:val="08676707"/>
    <w:rsid w:val="08AD41A6"/>
    <w:rsid w:val="08B9315C"/>
    <w:rsid w:val="09C35E1E"/>
    <w:rsid w:val="0AA339EE"/>
    <w:rsid w:val="0D132C19"/>
    <w:rsid w:val="0D9F1B29"/>
    <w:rsid w:val="0E0B7E06"/>
    <w:rsid w:val="0FE34B24"/>
    <w:rsid w:val="11791BB6"/>
    <w:rsid w:val="120B3EBE"/>
    <w:rsid w:val="14B7657F"/>
    <w:rsid w:val="14D02450"/>
    <w:rsid w:val="155344FA"/>
    <w:rsid w:val="15D77CB5"/>
    <w:rsid w:val="16443E43"/>
    <w:rsid w:val="1703785A"/>
    <w:rsid w:val="18215731"/>
    <w:rsid w:val="18470C73"/>
    <w:rsid w:val="19045B0B"/>
    <w:rsid w:val="1BE0244F"/>
    <w:rsid w:val="1E173312"/>
    <w:rsid w:val="1F044C17"/>
    <w:rsid w:val="1F5570C1"/>
    <w:rsid w:val="1F996FAD"/>
    <w:rsid w:val="2099122F"/>
    <w:rsid w:val="20A63294"/>
    <w:rsid w:val="20BB050A"/>
    <w:rsid w:val="2165030C"/>
    <w:rsid w:val="224960C7"/>
    <w:rsid w:val="22870692"/>
    <w:rsid w:val="22D402FC"/>
    <w:rsid w:val="23D528B6"/>
    <w:rsid w:val="243F5C4A"/>
    <w:rsid w:val="245B0CD5"/>
    <w:rsid w:val="25A96130"/>
    <w:rsid w:val="28220787"/>
    <w:rsid w:val="28416802"/>
    <w:rsid w:val="28C64B8B"/>
    <w:rsid w:val="28EA5551"/>
    <w:rsid w:val="29736AC1"/>
    <w:rsid w:val="29CC6F35"/>
    <w:rsid w:val="2BE9306B"/>
    <w:rsid w:val="2C8E6DE1"/>
    <w:rsid w:val="2D142369"/>
    <w:rsid w:val="2DAD1E76"/>
    <w:rsid w:val="2E156CED"/>
    <w:rsid w:val="2E725599"/>
    <w:rsid w:val="2EAB0AAB"/>
    <w:rsid w:val="2EEF6BEA"/>
    <w:rsid w:val="2F4405B8"/>
    <w:rsid w:val="2F7C5FA4"/>
    <w:rsid w:val="2FA986A4"/>
    <w:rsid w:val="2FF344B8"/>
    <w:rsid w:val="2FFB511A"/>
    <w:rsid w:val="314E60EC"/>
    <w:rsid w:val="322272D6"/>
    <w:rsid w:val="34986903"/>
    <w:rsid w:val="34DB0D1F"/>
    <w:rsid w:val="35914F53"/>
    <w:rsid w:val="37164F30"/>
    <w:rsid w:val="382F6B8A"/>
    <w:rsid w:val="38653A79"/>
    <w:rsid w:val="38F10C32"/>
    <w:rsid w:val="398B750F"/>
    <w:rsid w:val="3B273268"/>
    <w:rsid w:val="3B8701AA"/>
    <w:rsid w:val="3DAE7C70"/>
    <w:rsid w:val="3DDA0A65"/>
    <w:rsid w:val="3E8D3D29"/>
    <w:rsid w:val="3EEA231B"/>
    <w:rsid w:val="3F4C5993"/>
    <w:rsid w:val="3F7D3D9E"/>
    <w:rsid w:val="404623E2"/>
    <w:rsid w:val="40E304B3"/>
    <w:rsid w:val="410A1661"/>
    <w:rsid w:val="42E41C03"/>
    <w:rsid w:val="43F9087A"/>
    <w:rsid w:val="448C37A5"/>
    <w:rsid w:val="456A7FAE"/>
    <w:rsid w:val="46993C3E"/>
    <w:rsid w:val="47040901"/>
    <w:rsid w:val="47F900E4"/>
    <w:rsid w:val="49050C83"/>
    <w:rsid w:val="490D6193"/>
    <w:rsid w:val="49C44468"/>
    <w:rsid w:val="4D51623B"/>
    <w:rsid w:val="4D914198"/>
    <w:rsid w:val="4F253B0A"/>
    <w:rsid w:val="4F6A12C4"/>
    <w:rsid w:val="4FB31116"/>
    <w:rsid w:val="4FFA575F"/>
    <w:rsid w:val="50681F00"/>
    <w:rsid w:val="51426BF5"/>
    <w:rsid w:val="5153670D"/>
    <w:rsid w:val="517A638F"/>
    <w:rsid w:val="521F0CE5"/>
    <w:rsid w:val="52DC0984"/>
    <w:rsid w:val="535D1AC5"/>
    <w:rsid w:val="5386726D"/>
    <w:rsid w:val="557430F6"/>
    <w:rsid w:val="55FA7A9F"/>
    <w:rsid w:val="56E3418D"/>
    <w:rsid w:val="573E39BB"/>
    <w:rsid w:val="578735B4"/>
    <w:rsid w:val="58951D01"/>
    <w:rsid w:val="591250FF"/>
    <w:rsid w:val="59AC7302"/>
    <w:rsid w:val="5A5D05FC"/>
    <w:rsid w:val="5A7616BE"/>
    <w:rsid w:val="5A9D6C4B"/>
    <w:rsid w:val="5B975D90"/>
    <w:rsid w:val="5BC621D1"/>
    <w:rsid w:val="5DBC7D30"/>
    <w:rsid w:val="5F537095"/>
    <w:rsid w:val="60793CB6"/>
    <w:rsid w:val="61704203"/>
    <w:rsid w:val="61D513C0"/>
    <w:rsid w:val="63473BF7"/>
    <w:rsid w:val="63D20F4B"/>
    <w:rsid w:val="63DA0F0F"/>
    <w:rsid w:val="64711499"/>
    <w:rsid w:val="64DF4A2F"/>
    <w:rsid w:val="64FB2EEB"/>
    <w:rsid w:val="655F347A"/>
    <w:rsid w:val="65AC124F"/>
    <w:rsid w:val="670C1AB4"/>
    <w:rsid w:val="67254250"/>
    <w:rsid w:val="679A58E8"/>
    <w:rsid w:val="67BF2512"/>
    <w:rsid w:val="6BF568E6"/>
    <w:rsid w:val="6E752B8D"/>
    <w:rsid w:val="6EF70BC7"/>
    <w:rsid w:val="6F0B6421"/>
    <w:rsid w:val="703379DD"/>
    <w:rsid w:val="70E707C8"/>
    <w:rsid w:val="713C1B02"/>
    <w:rsid w:val="71917EA7"/>
    <w:rsid w:val="727A7B45"/>
    <w:rsid w:val="7399224D"/>
    <w:rsid w:val="73D634A1"/>
    <w:rsid w:val="73D6524F"/>
    <w:rsid w:val="743E2DF5"/>
    <w:rsid w:val="745443C6"/>
    <w:rsid w:val="74C94B5B"/>
    <w:rsid w:val="74CC0400"/>
    <w:rsid w:val="74CF1C9F"/>
    <w:rsid w:val="74DF1FAA"/>
    <w:rsid w:val="7621652A"/>
    <w:rsid w:val="76984A3E"/>
    <w:rsid w:val="79183C14"/>
    <w:rsid w:val="7A280C99"/>
    <w:rsid w:val="7A601D17"/>
    <w:rsid w:val="7BC57958"/>
    <w:rsid w:val="7C1E1BC0"/>
    <w:rsid w:val="7C697D62"/>
    <w:rsid w:val="7DD30A52"/>
    <w:rsid w:val="7F2B119F"/>
    <w:rsid w:val="7FDF7D5D"/>
    <w:rsid w:val="7FFF87B8"/>
    <w:rsid w:val="C3C2636B"/>
    <w:rsid w:val="C67BDFFE"/>
    <w:rsid w:val="EDFA4F20"/>
    <w:rsid w:val="EF7DA69E"/>
    <w:rsid w:val="FAAF5353"/>
    <w:rsid w:val="FBBF4C8C"/>
    <w:rsid w:val="FBD72474"/>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widowControl/>
      <w:jc w:val="left"/>
      <w:outlineLvl w:val="2"/>
    </w:pPr>
    <w:rPr>
      <w:rFonts w:ascii="宋体" w:hAnsi="宋体" w:cs="宋体"/>
      <w:b/>
      <w:bCs/>
      <w:kern w:val="0"/>
      <w:sz w:val="27"/>
      <w:szCs w:val="27"/>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567"/>
    </w:pPr>
    <w:rPr>
      <w:rFonts w:eastAsia="宋体"/>
      <w:sz w:val="21"/>
      <w:szCs w:val="24"/>
    </w:rPr>
  </w:style>
  <w:style w:type="paragraph" w:styleId="4">
    <w:name w:val="Body Text"/>
    <w:basedOn w:val="1"/>
    <w:next w:val="1"/>
    <w:unhideWhenUsed/>
    <w:qFormat/>
    <w:uiPriority w:val="99"/>
    <w:pPr>
      <w:spacing w:after="12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Strong"/>
    <w:basedOn w:val="10"/>
    <w:qFormat/>
    <w:uiPriority w:val="0"/>
    <w:rPr>
      <w:b/>
    </w:rPr>
  </w:style>
  <w:style w:type="character" w:styleId="12">
    <w:name w:val="page number"/>
    <w:semiHidden/>
    <w:qFormat/>
    <w:uiPriority w:val="0"/>
  </w:style>
  <w:style w:type="character" w:customStyle="1" w:styleId="13">
    <w:name w:val="font21"/>
    <w:basedOn w:val="10"/>
    <w:qFormat/>
    <w:uiPriority w:val="0"/>
    <w:rPr>
      <w:rFonts w:hint="eastAsia" w:ascii="方正黑体_GBK" w:hAnsi="方正黑体_GBK" w:eastAsia="方正黑体_GBK" w:cs="方正黑体_GBK"/>
      <w:color w:val="000000"/>
      <w:sz w:val="24"/>
      <w:szCs w:val="24"/>
      <w:u w:val="none"/>
    </w:rPr>
  </w:style>
  <w:style w:type="character" w:customStyle="1" w:styleId="14">
    <w:name w:val="font31"/>
    <w:basedOn w:val="10"/>
    <w:qFormat/>
    <w:uiPriority w:val="0"/>
    <w:rPr>
      <w:rFonts w:hint="default" w:ascii="Times New Roman" w:hAnsi="Times New Roman" w:cs="Times New Roman"/>
      <w:color w:val="000000"/>
      <w:sz w:val="24"/>
      <w:szCs w:val="24"/>
      <w:u w:val="none"/>
    </w:rPr>
  </w:style>
  <w:style w:type="character" w:customStyle="1" w:styleId="15">
    <w:name w:val="font41"/>
    <w:basedOn w:val="10"/>
    <w:qFormat/>
    <w:uiPriority w:val="0"/>
    <w:rPr>
      <w:rFonts w:ascii="方正仿宋_GBK" w:hAnsi="方正仿宋_GBK" w:eastAsia="方正仿宋_GBK" w:cs="方正仿宋_GBK"/>
      <w:color w:val="000000"/>
      <w:sz w:val="24"/>
      <w:szCs w:val="24"/>
      <w:u w:val="none"/>
    </w:rPr>
  </w:style>
  <w:style w:type="character" w:customStyle="1" w:styleId="16">
    <w:name w:val="font121"/>
    <w:basedOn w:val="10"/>
    <w:qFormat/>
    <w:uiPriority w:val="0"/>
    <w:rPr>
      <w:rFonts w:hint="eastAsia" w:ascii="宋体" w:hAnsi="宋体" w:eastAsia="宋体" w:cs="宋体"/>
      <w:color w:val="000000"/>
      <w:sz w:val="22"/>
      <w:szCs w:val="22"/>
      <w:u w:val="none"/>
    </w:rPr>
  </w:style>
  <w:style w:type="character" w:customStyle="1" w:styleId="17">
    <w:name w:val="font91"/>
    <w:basedOn w:val="10"/>
    <w:qFormat/>
    <w:uiPriority w:val="0"/>
    <w:rPr>
      <w:rFonts w:ascii="方正黑体_GBK" w:hAnsi="方正黑体_GBK" w:eastAsia="方正黑体_GBK" w:cs="方正黑体_GBK"/>
      <w:color w:val="000000"/>
      <w:sz w:val="22"/>
      <w:szCs w:val="22"/>
      <w:u w:val="none"/>
    </w:rPr>
  </w:style>
  <w:style w:type="character" w:customStyle="1" w:styleId="18">
    <w:name w:val="font101"/>
    <w:basedOn w:val="10"/>
    <w:qFormat/>
    <w:uiPriority w:val="0"/>
    <w:rPr>
      <w:rFonts w:ascii="方正小标宋_GBK" w:hAnsi="方正小标宋_GBK" w:eastAsia="方正小标宋_GBK" w:cs="方正小标宋_GBK"/>
      <w:color w:val="000000"/>
      <w:sz w:val="40"/>
      <w:szCs w:val="40"/>
      <w:u w:val="none"/>
    </w:rPr>
  </w:style>
  <w:style w:type="character" w:customStyle="1" w:styleId="19">
    <w:name w:val="font112"/>
    <w:basedOn w:val="10"/>
    <w:qFormat/>
    <w:uiPriority w:val="0"/>
    <w:rPr>
      <w:rFonts w:hint="eastAsia" w:ascii="宋体" w:hAnsi="宋体" w:eastAsia="宋体" w:cs="宋体"/>
      <w:b/>
      <w:bCs/>
      <w:color w:val="000000"/>
      <w:sz w:val="22"/>
      <w:szCs w:val="22"/>
      <w:u w:val="none"/>
    </w:rPr>
  </w:style>
  <w:style w:type="character" w:customStyle="1" w:styleId="20">
    <w:name w:val="font61"/>
    <w:basedOn w:val="10"/>
    <w:qFormat/>
    <w:uiPriority w:val="0"/>
    <w:rPr>
      <w:rFonts w:ascii="方正黑体_GBK" w:hAnsi="方正黑体_GBK" w:eastAsia="方正黑体_GBK" w:cs="方正黑体_GBK"/>
      <w:color w:val="000000"/>
      <w:sz w:val="22"/>
      <w:szCs w:val="22"/>
      <w:u w:val="none"/>
    </w:rPr>
  </w:style>
  <w:style w:type="character" w:customStyle="1" w:styleId="21">
    <w:name w:val="font71"/>
    <w:basedOn w:val="10"/>
    <w:qFormat/>
    <w:uiPriority w:val="0"/>
    <w:rPr>
      <w:rFonts w:ascii="方正小标宋_GBK" w:hAnsi="方正小标宋_GBK" w:eastAsia="方正小标宋_GBK" w:cs="方正小标宋_GBK"/>
      <w:color w:val="000000"/>
      <w:sz w:val="40"/>
      <w:szCs w:val="40"/>
      <w:u w:val="none"/>
    </w:rPr>
  </w:style>
  <w:style w:type="character" w:customStyle="1" w:styleId="22">
    <w:name w:val="font81"/>
    <w:basedOn w:val="10"/>
    <w:qFormat/>
    <w:uiPriority w:val="0"/>
    <w:rPr>
      <w:rFonts w:ascii="方正楷体_GBK" w:hAnsi="方正楷体_GBK" w:eastAsia="方正楷体_GBK" w:cs="方正楷体_GBK"/>
      <w:color w:val="000000"/>
      <w:sz w:val="22"/>
      <w:szCs w:val="22"/>
      <w:u w:val="none"/>
    </w:rPr>
  </w:style>
  <w:style w:type="character" w:customStyle="1" w:styleId="23">
    <w:name w:val="font51"/>
    <w:basedOn w:val="10"/>
    <w:qFormat/>
    <w:uiPriority w:val="0"/>
    <w:rPr>
      <w:rFonts w:hint="default" w:ascii="Times New Roman" w:hAnsi="Times New Roman" w:cs="Times New Roman"/>
      <w:b/>
      <w:bCs/>
      <w:color w:val="000000"/>
      <w:sz w:val="22"/>
      <w:szCs w:val="22"/>
      <w:u w:val="none"/>
    </w:rPr>
  </w:style>
  <w:style w:type="character" w:customStyle="1" w:styleId="24">
    <w:name w:val="font11"/>
    <w:basedOn w:val="10"/>
    <w:qFormat/>
    <w:uiPriority w:val="0"/>
    <w:rPr>
      <w:rFonts w:hint="eastAsia" w:ascii="方正黑体_GBK" w:hAnsi="方正黑体_GBK" w:eastAsia="方正黑体_GBK" w:cs="方正黑体_GBK"/>
      <w:color w:val="000000"/>
      <w:sz w:val="22"/>
      <w:szCs w:val="22"/>
      <w:u w:val="none"/>
    </w:rPr>
  </w:style>
  <w:style w:type="character" w:customStyle="1" w:styleId="25">
    <w:name w:val="font111"/>
    <w:basedOn w:val="10"/>
    <w:qFormat/>
    <w:uiPriority w:val="0"/>
    <w:rPr>
      <w:rFonts w:ascii="方正黑体_GBK" w:hAnsi="方正黑体_GBK" w:eastAsia="方正黑体_GBK" w:cs="方正黑体_GBK"/>
      <w:color w:val="000000"/>
      <w:sz w:val="22"/>
      <w:szCs w:val="22"/>
      <w:u w:val="none"/>
    </w:rPr>
  </w:style>
  <w:style w:type="character" w:customStyle="1" w:styleId="26">
    <w:name w:val="font12"/>
    <w:basedOn w:val="10"/>
    <w:qFormat/>
    <w:uiPriority w:val="0"/>
    <w:rPr>
      <w:rFonts w:hint="default" w:ascii="Times New Roman" w:hAnsi="Times New Roman" w:cs="Times New Roman"/>
      <w:color w:val="000000"/>
      <w:sz w:val="22"/>
      <w:szCs w:val="22"/>
      <w:u w:val="none"/>
    </w:rPr>
  </w:style>
  <w:style w:type="character" w:customStyle="1" w:styleId="27">
    <w:name w:val="font122"/>
    <w:basedOn w:val="10"/>
    <w:qFormat/>
    <w:uiPriority w:val="0"/>
    <w:rPr>
      <w:rFonts w:hint="eastAsia" w:ascii="宋体" w:hAnsi="宋体" w:eastAsia="宋体" w:cs="宋体"/>
      <w:b/>
      <w:bCs/>
      <w:color w:val="000000"/>
      <w:sz w:val="22"/>
      <w:szCs w:val="22"/>
      <w:u w:val="none"/>
    </w:rPr>
  </w:style>
  <w:style w:type="character" w:customStyle="1" w:styleId="28">
    <w:name w:val="font131"/>
    <w:basedOn w:val="10"/>
    <w:qFormat/>
    <w:uiPriority w:val="0"/>
    <w:rPr>
      <w:rFonts w:hint="eastAsia" w:ascii="宋体" w:hAnsi="宋体" w:eastAsia="宋体" w:cs="宋体"/>
      <w:b/>
      <w:bCs/>
      <w:color w:val="000000"/>
      <w:sz w:val="24"/>
      <w:szCs w:val="24"/>
      <w:u w:val="none"/>
    </w:rPr>
  </w:style>
  <w:style w:type="character" w:customStyle="1" w:styleId="29">
    <w:name w:val="font141"/>
    <w:basedOn w:val="10"/>
    <w:qFormat/>
    <w:uiPriority w:val="0"/>
    <w:rPr>
      <w:rFonts w:ascii="微软雅黑" w:hAnsi="微软雅黑" w:eastAsia="微软雅黑" w:cs="微软雅黑"/>
      <w:b/>
      <w:bCs/>
      <w:color w:val="000000"/>
      <w:sz w:val="28"/>
      <w:szCs w:val="28"/>
      <w:u w:val="none"/>
    </w:rPr>
  </w:style>
  <w:style w:type="paragraph" w:styleId="30">
    <w:name w:val="List Paragraph"/>
    <w:basedOn w:val="1"/>
    <w:qFormat/>
    <w:uiPriority w:val="34"/>
    <w:pPr>
      <w:ind w:firstLine="420" w:firstLineChars="200"/>
    </w:pPr>
    <w:rPr>
      <w:rFonts w:ascii="Calibri" w:hAnsi="Calibri"/>
      <w:szCs w:val="22"/>
    </w:rPr>
  </w:style>
  <w:style w:type="character" w:customStyle="1" w:styleId="31">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3837</Words>
  <Characters>4109</Characters>
  <Lines>0</Lines>
  <Paragraphs>0</Paragraphs>
  <TotalTime>1</TotalTime>
  <ScaleCrop>false</ScaleCrop>
  <LinksUpToDate>false</LinksUpToDate>
  <CharactersWithSpaces>4220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2026-01-07T22:35:00Z</dcterms:created>
  <dc:creator>lenovo</dc:creator>
  <cp:lastModifiedBy>彭剑</cp:lastModifiedBy>
  <cp:lastPrinted>2026-01-28T23:59:00Z</cp:lastPrinted>
  <dcterms:modified xsi:type="dcterms:W3CDTF">2026-03-11T09:32:04Z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44EBD8EDD8640457B1DF7969AD70809F_43</vt:lpwstr>
  </property>
  <property fmtid="{D5CDD505-2E9C-101B-9397-08002B2CF9AE}" pid="4" name="KSOTemplateDocerSaveRecord">
    <vt:lpwstr>eyJoZGlkIjoiNDBmMjlmMjJhZTBkZDg0ODRkNGQ2NmM2NGFjZWEyMGYiLCJ1c2VySWQiOiIxNjM0ODkwNDUyIn0=</vt:lpwstr>
  </property>
</Properties>
</file>