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eastAsia="黑体"/>
          <w:sz w:val="36"/>
        </w:rPr>
      </w:pPr>
      <w:bookmarkStart w:id="0" w:name="_GoBack"/>
      <w:bookmarkEnd w:id="0"/>
    </w:p>
    <w:p>
      <w:pPr>
        <w:spacing w:line="400" w:lineRule="exact"/>
        <w:jc w:val="center"/>
        <w:rPr>
          <w:rFonts w:eastAsia="黑体"/>
          <w:sz w:val="36"/>
        </w:rPr>
      </w:pPr>
      <w:r>
        <w:rPr>
          <w:rFonts w:eastAsia="黑体"/>
          <w:sz w:val="36"/>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line">
                  <wp:align>top</wp:align>
                </wp:positionV>
                <wp:extent cx="5579745" cy="720090"/>
                <wp:effectExtent l="0" t="0" r="1905" b="4445"/>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580000" cy="720000"/>
                        </a:xfrm>
                        <a:prstGeom prst="rect">
                          <a:avLst/>
                        </a:prstGeom>
                        <a:solidFill>
                          <a:srgbClr val="FFFFFF"/>
                        </a:solidFill>
                        <a:ln w="9525">
                          <a:noFill/>
                          <a:miter lim="800000"/>
                        </a:ln>
                      </wps:spPr>
                      <wps:txbx>
                        <w:txbxContent>
                          <w:p>
                            <w:pPr>
                              <w:jc w:val="distribute"/>
                              <w:rPr>
                                <w:rFonts w:eastAsia="方正小标宋简体"/>
                                <w:w w:val="80"/>
                                <w:sz w:val="72"/>
                                <w:szCs w:val="72"/>
                              </w:rPr>
                            </w:pPr>
                            <w:r>
                              <w:rPr>
                                <w:rFonts w:eastAsia="方正小标宋简体"/>
                                <w:color w:val="FF0000"/>
                                <w:spacing w:val="-18"/>
                                <w:w w:val="80"/>
                                <w:sz w:val="72"/>
                                <w:szCs w:val="72"/>
                              </w:rPr>
                              <w:t>重庆市开州区</w:t>
                            </w:r>
                            <w:r>
                              <w:rPr>
                                <w:rFonts w:hint="eastAsia" w:eastAsia="方正小标宋简体"/>
                                <w:color w:val="FF0000"/>
                                <w:spacing w:val="-18"/>
                                <w:w w:val="80"/>
                                <w:sz w:val="72"/>
                                <w:szCs w:val="72"/>
                              </w:rPr>
                              <w:t>三汇口乡中心幼儿园</w:t>
                            </w:r>
                          </w:p>
                          <w:p>
                            <w:pPr>
                              <w:jc w:val="distribute"/>
                              <w:rPr>
                                <w:rFonts w:ascii="方正小标宋_GBK" w:eastAsia="方正小标宋_GBK"/>
                                <w:color w:val="FF0000"/>
                                <w:sz w:val="72"/>
                                <w:szCs w:val="36"/>
                              </w:rPr>
                            </w:pPr>
                          </w:p>
                        </w:txbxContent>
                      </wps:txbx>
                      <wps:bodyPr rot="0" vert="horz" wrap="square" lIns="0" tIns="0" rIns="0" bIns="0" anchor="ctr" anchorCtr="0">
                        <a:noAutofit/>
                      </wps:bodyPr>
                    </wps:wsp>
                  </a:graphicData>
                </a:graphic>
              </wp:anchor>
            </w:drawing>
          </mc:Choice>
          <mc:Fallback>
            <w:pict>
              <v:shape id="文本框 2" o:spid="_x0000_s1026" o:spt="202" type="#_x0000_t202" style="position:absolute;left:0pt;height:56.7pt;width:439.35pt;mso-position-horizontal:center;mso-position-horizontal-relative:margin;mso-position-vertical:top;mso-position-vertical-relative:line;mso-wrap-distance-bottom:0pt;mso-wrap-distance-top:0pt;z-index:251661312;v-text-anchor:middle;mso-width-relative:page;mso-height-relative:page;" fillcolor="#FFFFFF" filled="t" stroked="f" coordsize="21600,21600" o:allowoverlap="f" o:gfxdata="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9iFBXUAAAABQEAAA8AAAAAAAAAAQAgAAAAIgAAAGRycy9kb3ducmV2LnhtbFBLAQIUABQA&#10;AAAIAIdO4kB3k8ecLQIAAEYEAAAOAAAAAAAAAAEAIAAAACMBAABkcnMvZTJvRG9jLnhtbFBLBQYA&#10;AAAABgAGAFkBAADCBQAAAAA=&#10;">
                <v:fill on="t" focussize="0,0"/>
                <v:stroke on="f" miterlimit="8" joinstyle="miter"/>
                <v:imagedata o:title=""/>
                <o:lock v:ext="edit" aspectratio="f"/>
                <v:textbox inset="0mm,0mm,0mm,0mm">
                  <w:txbxContent>
                    <w:p>
                      <w:pPr>
                        <w:jc w:val="distribute"/>
                        <w:rPr>
                          <w:rFonts w:eastAsia="方正小标宋简体"/>
                          <w:w w:val="80"/>
                          <w:sz w:val="72"/>
                          <w:szCs w:val="72"/>
                        </w:rPr>
                      </w:pPr>
                      <w:r>
                        <w:rPr>
                          <w:rFonts w:eastAsia="方正小标宋简体"/>
                          <w:color w:val="FF0000"/>
                          <w:spacing w:val="-18"/>
                          <w:w w:val="80"/>
                          <w:sz w:val="72"/>
                          <w:szCs w:val="72"/>
                        </w:rPr>
                        <w:t>重庆市开州区</w:t>
                      </w:r>
                      <w:r>
                        <w:rPr>
                          <w:rFonts w:hint="eastAsia" w:eastAsia="方正小标宋简体"/>
                          <w:color w:val="FF0000"/>
                          <w:spacing w:val="-18"/>
                          <w:w w:val="80"/>
                          <w:sz w:val="72"/>
                          <w:szCs w:val="72"/>
                        </w:rPr>
                        <w:t>三汇口乡中心幼儿园</w:t>
                      </w:r>
                    </w:p>
                    <w:p>
                      <w:pPr>
                        <w:jc w:val="distribute"/>
                        <w:rPr>
                          <w:rFonts w:ascii="方正小标宋_GBK" w:eastAsia="方正小标宋_GBK"/>
                          <w:color w:val="FF0000"/>
                          <w:sz w:val="72"/>
                          <w:szCs w:val="36"/>
                        </w:rPr>
                      </w:pPr>
                    </w:p>
                  </w:txbxContent>
                </v:textbox>
                <w10:wrap type="topAndBottom"/>
              </v:shape>
            </w:pict>
          </mc:Fallback>
        </mc:AlternateContent>
      </w:r>
    </w:p>
    <w:p>
      <w:pPr>
        <w:spacing w:line="100" w:lineRule="exact"/>
        <w:jc w:val="center"/>
        <w:rPr>
          <w:rFonts w:eastAsia="黑体"/>
          <w:sz w:val="36"/>
        </w:rPr>
      </w:pPr>
    </w:p>
    <w:p>
      <w:pPr>
        <w:spacing w:line="600" w:lineRule="exact"/>
        <w:jc w:val="center"/>
        <w:rPr>
          <w:rFonts w:eastAsia="方正仿宋_GBK"/>
          <w:sz w:val="32"/>
          <w:szCs w:val="32"/>
        </w:rPr>
      </w:pPr>
      <w:r>
        <w:rPr>
          <w:rFonts w:eastAsia="方正仿宋_GBK"/>
          <w:sz w:val="32"/>
        </w:rPr>
        <w:t>开州</w:t>
      </w:r>
      <w:r>
        <w:rPr>
          <w:rFonts w:hint="eastAsia" w:eastAsia="方正仿宋_GBK"/>
          <w:sz w:val="32"/>
        </w:rPr>
        <w:t>三汇口幼儿园</w:t>
      </w:r>
      <w:r>
        <w:rPr>
          <w:rFonts w:eastAsia="方正仿宋_GBK"/>
          <w:color w:val="000000"/>
          <w:sz w:val="32"/>
          <w:szCs w:val="32"/>
        </w:rPr>
        <w:t>〔2024〕</w:t>
      </w:r>
      <w:r>
        <w:rPr>
          <w:rFonts w:hint="eastAsia" w:eastAsia="方正仿宋_GBK"/>
          <w:color w:val="000000"/>
          <w:sz w:val="32"/>
          <w:szCs w:val="32"/>
        </w:rPr>
        <w:t>00</w:t>
      </w:r>
      <w:r>
        <w:rPr>
          <w:rFonts w:hint="eastAsia" w:eastAsia="方正仿宋_GBK"/>
          <w:sz w:val="32"/>
          <w:szCs w:val="32"/>
        </w:rPr>
        <w:t>1</w:t>
      </w:r>
      <w:r>
        <w:rPr>
          <w:rFonts w:eastAsia="方正仿宋_GBK"/>
          <w:sz w:val="32"/>
        </w:rPr>
        <w:t>号              签发人：</w:t>
      </w:r>
      <w:r>
        <w:rPr>
          <w:rFonts w:hint="eastAsia" w:eastAsia="方正楷体_GBK"/>
          <w:sz w:val="32"/>
        </w:rPr>
        <w:t>雷科</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三汇口乡中心幼儿园</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w:t>
      </w:r>
      <w:r>
        <w:rPr>
          <w:rFonts w:hint="eastAsia" w:eastAsia="方正仿宋_GBK"/>
          <w:sz w:val="32"/>
          <w:szCs w:val="32"/>
        </w:rPr>
        <w:t>、重庆市开州区财政局</w:t>
      </w:r>
      <w:r>
        <w:rPr>
          <w:rFonts w:eastAsia="方正仿宋_GBK"/>
          <w:sz w:val="32"/>
          <w:szCs w:val="32"/>
        </w:rPr>
        <w:t>《关于批复2024年</w:t>
      </w:r>
      <w:r>
        <w:rPr>
          <w:rFonts w:hint="eastAsia" w:eastAsia="方正仿宋_GBK"/>
          <w:sz w:val="32"/>
          <w:szCs w:val="32"/>
        </w:rPr>
        <w:t>区级</w:t>
      </w:r>
      <w:r>
        <w:rPr>
          <w:rFonts w:eastAsia="方正仿宋_GBK"/>
          <w:sz w:val="32"/>
          <w:szCs w:val="32"/>
        </w:rPr>
        <w:t>部门预算的通知》（</w:t>
      </w:r>
      <w:r>
        <w:rPr>
          <w:rFonts w:hint="eastAsia" w:eastAsia="方正仿宋_GBK"/>
          <w:sz w:val="32"/>
          <w:szCs w:val="32"/>
        </w:rPr>
        <w:t>开州财教发</w:t>
      </w:r>
      <w:r>
        <w:rPr>
          <w:rFonts w:eastAsia="方正仿宋_GBK"/>
          <w:sz w:val="32"/>
          <w:szCs w:val="32"/>
        </w:rPr>
        <w:t>〔2024〕</w:t>
      </w:r>
      <w:r>
        <w:rPr>
          <w:rFonts w:hint="eastAsia" w:eastAsia="方正仿宋_GBK"/>
          <w:sz w:val="32"/>
          <w:szCs w:val="32"/>
        </w:rPr>
        <w:t>10</w:t>
      </w:r>
      <w:r>
        <w:rPr>
          <w:rFonts w:eastAsia="方正仿宋_GBK"/>
          <w:sz w:val="32"/>
          <w:szCs w:val="32"/>
        </w:rPr>
        <w:t>号）</w:t>
      </w:r>
      <w:r>
        <w:rPr>
          <w:rFonts w:hint="eastAsia" w:eastAsia="方正仿宋_GBK"/>
          <w:sz w:val="32"/>
          <w:szCs w:val="32"/>
        </w:rPr>
        <w:t>及重庆市开州区教育委员会</w:t>
      </w:r>
      <w:r>
        <w:rPr>
          <w:rFonts w:eastAsia="方正仿宋_GBK"/>
          <w:sz w:val="32"/>
          <w:szCs w:val="32"/>
        </w:rPr>
        <w:t>《关于批复2024年部门预算的通知》（</w:t>
      </w:r>
      <w:r>
        <w:rPr>
          <w:rFonts w:hint="eastAsia" w:eastAsia="方正仿宋_GBK"/>
          <w:sz w:val="32"/>
          <w:szCs w:val="32"/>
        </w:rPr>
        <w:t>开州教财</w:t>
      </w:r>
      <w:r>
        <w:rPr>
          <w:rFonts w:eastAsia="方正仿宋_GBK"/>
          <w:sz w:val="32"/>
          <w:szCs w:val="32"/>
        </w:rPr>
        <w:t>〔2024〕</w:t>
      </w:r>
      <w:r>
        <w:rPr>
          <w:rFonts w:hint="eastAsia" w:eastAsia="方正仿宋_GBK"/>
          <w:sz w:val="32"/>
          <w:szCs w:val="32"/>
        </w:rPr>
        <w:t>3</w:t>
      </w:r>
      <w:r>
        <w:rPr>
          <w:rFonts w:eastAsia="方正仿宋_GBK"/>
          <w:sz w:val="32"/>
          <w:szCs w:val="32"/>
        </w:rPr>
        <w:t>号）</w:t>
      </w:r>
      <w:r>
        <w:rPr>
          <w:rFonts w:hint="eastAsia" w:eastAsia="方正仿宋_GBK"/>
          <w:sz w:val="32"/>
          <w:szCs w:val="32"/>
        </w:rPr>
        <w:t>要求，</w:t>
      </w:r>
      <w:r>
        <w:rPr>
          <w:rFonts w:eastAsia="方正仿宋_GBK"/>
          <w:sz w:val="32"/>
          <w:szCs w:val="32"/>
        </w:rPr>
        <w:t>现将</w:t>
      </w:r>
      <w:r>
        <w:rPr>
          <w:rFonts w:hint="eastAsia" w:eastAsia="方正仿宋_GBK"/>
          <w:sz w:val="32"/>
          <w:szCs w:val="32"/>
        </w:rPr>
        <w:t>重庆市开州区三汇口乡中心幼儿园</w:t>
      </w:r>
      <w:r>
        <w:rPr>
          <w:rFonts w:eastAsia="方正仿宋_GBK"/>
          <w:sz w:val="32"/>
          <w:szCs w:val="32"/>
        </w:rPr>
        <w:t>2024年部门预算批复情况公开如下：</w:t>
      </w: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w:t>
      </w:r>
      <w:r>
        <w:rPr>
          <w:rFonts w:hint="eastAsia" w:eastAsia="方正楷体_GBK"/>
          <w:sz w:val="32"/>
          <w:szCs w:val="32"/>
        </w:rPr>
        <w:t>公开报</w:t>
      </w:r>
      <w:r>
        <w:rPr>
          <w:rFonts w:eastAsia="方正楷体_GBK"/>
          <w:sz w:val="32"/>
          <w:szCs w:val="32"/>
        </w:rPr>
        <w:t>表</w:t>
      </w:r>
    </w:p>
    <w:p>
      <w:pPr>
        <w:spacing w:line="600" w:lineRule="exact"/>
      </w:pPr>
    </w:p>
    <w:p>
      <w:pPr>
        <w:spacing w:line="600" w:lineRule="exact"/>
        <w:rPr>
          <w:rFonts w:eastAsia="方正仿宋_GBK"/>
          <w:sz w:val="32"/>
          <w:szCs w:val="32"/>
        </w:rPr>
      </w:pPr>
      <w:r>
        <w:rPr>
          <w:rFonts w:eastAsia="方正仿宋_GBK"/>
          <w:sz w:val="32"/>
          <w:szCs w:val="32"/>
        </w:rPr>
        <w:t>表1、</w:t>
      </w:r>
      <w:r>
        <w:rPr>
          <w:rFonts w:hint="eastAsia" w:eastAsia="方正仿宋_GBK"/>
          <w:sz w:val="32"/>
          <w:szCs w:val="32"/>
        </w:rPr>
        <w:t>重庆市开州区三汇口乡中心幼儿园收支预算总表</w:t>
      </w:r>
    </w:p>
    <w:p>
      <w:pPr>
        <w:spacing w:line="600" w:lineRule="exact"/>
        <w:rPr>
          <w:rFonts w:eastAsia="方正仿宋_GBK"/>
          <w:sz w:val="32"/>
          <w:szCs w:val="32"/>
        </w:rPr>
      </w:pPr>
      <w:r>
        <w:rPr>
          <w:rFonts w:eastAsia="方正仿宋_GBK"/>
          <w:sz w:val="32"/>
          <w:szCs w:val="32"/>
        </w:rPr>
        <w:t>表2、</w:t>
      </w:r>
      <w:r>
        <w:rPr>
          <w:rFonts w:hint="eastAsia" w:eastAsia="方正仿宋_GBK"/>
          <w:sz w:val="32"/>
          <w:szCs w:val="32"/>
        </w:rPr>
        <w:t>重庆市开州区三汇口乡中心幼儿园</w:t>
      </w:r>
      <w:r>
        <w:rPr>
          <w:rFonts w:eastAsia="方正仿宋_GBK"/>
          <w:sz w:val="32"/>
          <w:szCs w:val="32"/>
        </w:rPr>
        <w:t>收入总表</w:t>
      </w:r>
    </w:p>
    <w:p>
      <w:pPr>
        <w:spacing w:line="600" w:lineRule="exact"/>
        <w:rPr>
          <w:rFonts w:eastAsia="方正仿宋_GBK"/>
          <w:sz w:val="32"/>
          <w:szCs w:val="32"/>
        </w:rPr>
      </w:pPr>
      <w:r>
        <w:rPr>
          <w:rFonts w:eastAsia="方正仿宋_GBK"/>
          <w:sz w:val="32"/>
          <w:szCs w:val="32"/>
        </w:rPr>
        <w:t>表3、</w:t>
      </w:r>
      <w:r>
        <w:rPr>
          <w:rFonts w:hint="eastAsia" w:eastAsia="方正仿宋_GBK"/>
          <w:sz w:val="32"/>
          <w:szCs w:val="32"/>
        </w:rPr>
        <w:t>重庆市开州区三汇口乡中心幼儿园本年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表4、</w:t>
      </w:r>
      <w:r>
        <w:rPr>
          <w:rFonts w:hint="eastAsia" w:eastAsia="方正仿宋_GBK"/>
          <w:sz w:val="32"/>
          <w:szCs w:val="32"/>
        </w:rPr>
        <w:t>重庆市开州区三汇口乡中心幼儿园</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pPr>
        <w:spacing w:line="600" w:lineRule="exact"/>
        <w:ind w:left="800" w:hanging="800" w:hangingChars="250"/>
        <w:rPr>
          <w:rFonts w:eastAsia="方正仿宋_GBK"/>
          <w:sz w:val="32"/>
          <w:szCs w:val="32"/>
        </w:rPr>
      </w:pPr>
      <w:r>
        <w:rPr>
          <w:rFonts w:eastAsia="方正仿宋_GBK"/>
          <w:sz w:val="32"/>
          <w:szCs w:val="32"/>
        </w:rPr>
        <w:t>表5、</w:t>
      </w:r>
      <w:r>
        <w:rPr>
          <w:rFonts w:hint="eastAsia" w:eastAsia="方正仿宋_GBK"/>
          <w:sz w:val="32"/>
          <w:szCs w:val="32"/>
        </w:rPr>
        <w:t>重庆市开州区三汇口乡中心幼儿园本年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pPr>
        <w:spacing w:line="600" w:lineRule="exact"/>
        <w:ind w:left="800" w:hanging="800" w:hangingChars="250"/>
        <w:rPr>
          <w:rFonts w:eastAsia="方正仿宋_GBK"/>
          <w:sz w:val="32"/>
          <w:szCs w:val="32"/>
        </w:rPr>
      </w:pPr>
      <w:r>
        <w:rPr>
          <w:rFonts w:eastAsia="方正仿宋_GBK"/>
          <w:sz w:val="32"/>
          <w:szCs w:val="32"/>
        </w:rPr>
        <w:t>表6、</w:t>
      </w:r>
      <w:r>
        <w:rPr>
          <w:rFonts w:hint="eastAsia" w:eastAsia="方正仿宋_GBK"/>
          <w:sz w:val="32"/>
          <w:szCs w:val="32"/>
        </w:rPr>
        <w:t>重庆市开州区三汇口乡中心幼儿园</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pPr>
        <w:spacing w:line="600" w:lineRule="exact"/>
        <w:ind w:left="800" w:hanging="800" w:hangingChars="250"/>
        <w:rPr>
          <w:rFonts w:eastAsia="方正仿宋_GBK"/>
          <w:sz w:val="32"/>
          <w:szCs w:val="32"/>
        </w:rPr>
      </w:pPr>
      <w:r>
        <w:rPr>
          <w:rFonts w:eastAsia="方正仿宋_GBK"/>
          <w:sz w:val="32"/>
          <w:szCs w:val="32"/>
        </w:rPr>
        <w:t>表7、</w:t>
      </w:r>
      <w:r>
        <w:rPr>
          <w:rFonts w:hint="eastAsia" w:eastAsia="方正仿宋_GBK"/>
          <w:sz w:val="32"/>
          <w:szCs w:val="32"/>
        </w:rPr>
        <w:t>重庆市开州区三汇口乡中心幼儿园</w:t>
      </w:r>
      <w:r>
        <w:rPr>
          <w:rFonts w:eastAsia="方正仿宋_GBK"/>
          <w:sz w:val="32"/>
          <w:szCs w:val="32"/>
        </w:rPr>
        <w:t>一般公共预</w:t>
      </w:r>
      <w:r>
        <w:rPr>
          <w:rFonts w:hint="eastAsia"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pPr>
        <w:spacing w:line="600" w:lineRule="exact"/>
        <w:ind w:left="800" w:hanging="800" w:hangingChars="250"/>
        <w:rPr>
          <w:rFonts w:eastAsia="方正仿宋_GBK"/>
          <w:sz w:val="32"/>
          <w:szCs w:val="32"/>
        </w:rPr>
      </w:pPr>
      <w:r>
        <w:rPr>
          <w:rFonts w:eastAsia="方正仿宋_GBK"/>
          <w:sz w:val="32"/>
          <w:szCs w:val="32"/>
        </w:rPr>
        <w:t>表8、</w:t>
      </w:r>
      <w:r>
        <w:rPr>
          <w:rFonts w:hint="eastAsia" w:eastAsia="方正仿宋_GBK"/>
          <w:sz w:val="32"/>
          <w:szCs w:val="32"/>
        </w:rPr>
        <w:t>重庆市开州区三汇口乡中心幼儿园</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pPr>
        <w:spacing w:line="600" w:lineRule="exact"/>
        <w:ind w:left="800" w:hanging="800" w:hangingChars="250"/>
        <w:rPr>
          <w:rFonts w:eastAsia="方正仿宋_GBK"/>
          <w:sz w:val="32"/>
          <w:szCs w:val="32"/>
        </w:rPr>
      </w:pPr>
      <w:r>
        <w:rPr>
          <w:rFonts w:eastAsia="方正仿宋_GBK"/>
          <w:sz w:val="32"/>
          <w:szCs w:val="32"/>
        </w:rPr>
        <w:t>表9、</w:t>
      </w:r>
      <w:r>
        <w:rPr>
          <w:rFonts w:hint="eastAsia" w:eastAsia="方正仿宋_GBK"/>
          <w:sz w:val="32"/>
          <w:szCs w:val="32"/>
        </w:rPr>
        <w:t>重庆市开州区三汇口乡中心幼儿园</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pPr>
        <w:spacing w:line="600" w:lineRule="exact"/>
        <w:rPr>
          <w:rFonts w:eastAsia="方正仿宋_GBK"/>
          <w:sz w:val="32"/>
          <w:szCs w:val="32"/>
        </w:rPr>
      </w:pPr>
      <w:r>
        <w:rPr>
          <w:rFonts w:eastAsia="方正仿宋_GBK"/>
          <w:sz w:val="32"/>
          <w:szCs w:val="32"/>
        </w:rPr>
        <w:t>表10、</w:t>
      </w:r>
      <w:r>
        <w:rPr>
          <w:rFonts w:hint="eastAsia" w:eastAsia="方正仿宋_GBK"/>
          <w:sz w:val="32"/>
          <w:szCs w:val="32"/>
        </w:rPr>
        <w:t>重庆市开州区三汇口乡中心幼儿园</w:t>
      </w:r>
      <w:r>
        <w:rPr>
          <w:rFonts w:eastAsia="方正仿宋_GBK"/>
          <w:sz w:val="32"/>
          <w:szCs w:val="32"/>
        </w:rPr>
        <w:t>项目支出表</w:t>
      </w:r>
    </w:p>
    <w:p>
      <w:pPr>
        <w:widowControl/>
        <w:jc w:val="left"/>
        <w:rPr>
          <w:rFonts w:eastAsia="方正小标宋_GBK"/>
          <w:sz w:val="44"/>
          <w:szCs w:val="44"/>
        </w:rPr>
      </w:pPr>
      <w:r>
        <w:rPr>
          <w:rFonts w:eastAsia="方正小标宋_GBK"/>
          <w:sz w:val="44"/>
          <w:szCs w:val="44"/>
        </w:rPr>
        <w:br w:type="page"/>
      </w:r>
    </w:p>
    <w:p>
      <w:pPr>
        <w:spacing w:line="600" w:lineRule="exact"/>
        <w:jc w:val="center"/>
        <w:rPr>
          <w:rFonts w:eastAsia="方正小标宋_GBK"/>
          <w:sz w:val="44"/>
          <w:szCs w:val="44"/>
        </w:rPr>
      </w:pPr>
      <w:r>
        <w:rPr>
          <w:rFonts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spacing w:line="600" w:lineRule="exact"/>
        <w:ind w:left="640"/>
        <w:rPr>
          <w:rFonts w:eastAsia="方正黑体_GBK"/>
          <w:sz w:val="32"/>
        </w:rPr>
      </w:pPr>
      <w:r>
        <w:rPr>
          <w:rFonts w:eastAsia="方正黑体_GBK"/>
          <w:sz w:val="32"/>
        </w:rPr>
        <w:t>一、单位基本情况</w:t>
      </w:r>
    </w:p>
    <w:p>
      <w:pPr>
        <w:spacing w:line="600" w:lineRule="exact"/>
        <w:ind w:firstLine="640" w:firstLineChars="200"/>
        <w:rPr>
          <w:rFonts w:eastAsia="方正楷体_GBK"/>
          <w:sz w:val="32"/>
        </w:rPr>
      </w:pPr>
      <w:r>
        <w:rPr>
          <w:rFonts w:eastAsia="方正楷体_GBK"/>
          <w:sz w:val="32"/>
        </w:rPr>
        <w:t>（一）职能职责</w:t>
      </w:r>
    </w:p>
    <w:p>
      <w:pPr>
        <w:spacing w:line="520" w:lineRule="exact"/>
        <w:ind w:firstLine="640" w:firstLineChars="200"/>
        <w:rPr>
          <w:rFonts w:eastAsia="方正仿宋_GBK"/>
          <w:sz w:val="32"/>
          <w:szCs w:val="32"/>
        </w:rPr>
      </w:pPr>
      <w:r>
        <w:rPr>
          <w:rFonts w:eastAsia="方正仿宋_GBK"/>
          <w:sz w:val="32"/>
          <w:szCs w:val="32"/>
        </w:rPr>
        <w:t>1.实行保育与教育相结合的原则，对幼儿实施体、智、德、美诸方面全面发展的教育，促进其身心和谐发展。</w:t>
      </w:r>
    </w:p>
    <w:p>
      <w:pPr>
        <w:spacing w:line="600" w:lineRule="exact"/>
        <w:ind w:firstLine="640" w:firstLineChars="200"/>
        <w:rPr>
          <w:rFonts w:eastAsia="方正仿宋_GBK"/>
          <w:sz w:val="32"/>
          <w:szCs w:val="32"/>
        </w:rPr>
      </w:pPr>
      <w:r>
        <w:rPr>
          <w:rFonts w:eastAsia="方正仿宋_GBK"/>
          <w:sz w:val="32"/>
          <w:szCs w:val="32"/>
        </w:rPr>
        <w:t>2.做好入园孩子在园期间的安全监管、生理和心理卫生保健工作。</w:t>
      </w:r>
    </w:p>
    <w:p>
      <w:pPr>
        <w:spacing w:line="600" w:lineRule="exact"/>
        <w:ind w:firstLine="640" w:firstLineChars="200"/>
        <w:rPr>
          <w:rFonts w:eastAsia="方正楷体_GBK"/>
          <w:sz w:val="32"/>
        </w:rPr>
      </w:pPr>
      <w:r>
        <w:rPr>
          <w:rFonts w:eastAsia="方正楷体_GBK"/>
          <w:sz w:val="32"/>
        </w:rPr>
        <w:t>（二）单位构成</w:t>
      </w:r>
    </w:p>
    <w:p>
      <w:pPr>
        <w:pStyle w:val="8"/>
        <w:tabs>
          <w:tab w:val="center" w:pos="4153"/>
          <w:tab w:val="left" w:pos="7275"/>
        </w:tabs>
        <w:spacing w:line="600" w:lineRule="exact"/>
        <w:ind w:firstLine="640"/>
        <w:jc w:val="left"/>
        <w:rPr>
          <w:rFonts w:eastAsia="方正仿宋_GBK"/>
          <w:sz w:val="32"/>
        </w:rPr>
      </w:pPr>
      <w:r>
        <w:rPr>
          <w:rFonts w:eastAsia="方正仿宋_GBK"/>
          <w:sz w:val="32"/>
        </w:rPr>
        <w:t>本单位内设2个机构处室，分别是综合办和保教处。</w:t>
      </w:r>
    </w:p>
    <w:p>
      <w:pPr>
        <w:spacing w:line="600" w:lineRule="exact"/>
        <w:ind w:left="640"/>
        <w:rPr>
          <w:rFonts w:eastAsia="方正仿宋_GBK"/>
          <w:sz w:val="32"/>
        </w:rPr>
      </w:pPr>
      <w:r>
        <w:rPr>
          <w:rFonts w:eastAsia="方正黑体_GBK"/>
          <w:sz w:val="32"/>
        </w:rPr>
        <w:t>二、部门收支总体情况</w:t>
      </w:r>
    </w:p>
    <w:p>
      <w:pPr>
        <w:spacing w:line="600" w:lineRule="exact"/>
        <w:ind w:firstLine="640" w:firstLineChars="200"/>
        <w:rPr>
          <w:rFonts w:eastAsia="方正仿宋_GBK"/>
          <w:sz w:val="32"/>
        </w:rPr>
      </w:pPr>
      <w:r>
        <w:rPr>
          <w:rFonts w:eastAsia="方正楷体_GBK"/>
          <w:sz w:val="32"/>
        </w:rPr>
        <w:t>（一）收入预算：</w:t>
      </w:r>
      <w:r>
        <w:rPr>
          <w:rFonts w:hint="eastAsia" w:eastAsia="方正仿宋_GBK"/>
          <w:sz w:val="32"/>
        </w:rPr>
        <w:t>2024</w:t>
      </w:r>
      <w:r>
        <w:rPr>
          <w:rFonts w:eastAsia="方正仿宋_GBK"/>
          <w:sz w:val="32"/>
        </w:rPr>
        <w:t>年年初预算数</w:t>
      </w:r>
      <w:r>
        <w:rPr>
          <w:rFonts w:hint="eastAsia" w:eastAsia="方正仿宋_GBK"/>
          <w:sz w:val="32"/>
        </w:rPr>
        <w:t>217.54</w:t>
      </w:r>
      <w:r>
        <w:rPr>
          <w:rFonts w:eastAsia="方正仿宋_GBK"/>
          <w:sz w:val="32"/>
        </w:rPr>
        <w:t>万元（含上年结转</w:t>
      </w:r>
      <w:r>
        <w:rPr>
          <w:rFonts w:hint="eastAsia" w:eastAsia="方正仿宋_GBK"/>
          <w:sz w:val="32"/>
        </w:rPr>
        <w:t>0.57</w:t>
      </w:r>
      <w:r>
        <w:rPr>
          <w:rFonts w:eastAsia="方正仿宋_GBK"/>
          <w:sz w:val="32"/>
        </w:rPr>
        <w:t>万元），其中：一般公共预算拨款</w:t>
      </w:r>
      <w:r>
        <w:rPr>
          <w:rFonts w:hint="eastAsia" w:eastAsia="方正仿宋_GBK"/>
          <w:sz w:val="32"/>
        </w:rPr>
        <w:t>217.54</w:t>
      </w:r>
      <w:r>
        <w:rPr>
          <w:rFonts w:eastAsia="方正仿宋_GBK"/>
          <w:sz w:val="32"/>
        </w:rPr>
        <w:t>万元（含上年结转</w:t>
      </w:r>
      <w:r>
        <w:rPr>
          <w:rFonts w:hint="eastAsia" w:eastAsia="方正仿宋_GBK"/>
          <w:sz w:val="32"/>
        </w:rPr>
        <w:t>0.57</w:t>
      </w:r>
      <w:r>
        <w:rPr>
          <w:rFonts w:eastAsia="方正仿宋_GBK"/>
          <w:sz w:val="32"/>
        </w:rPr>
        <w:t>万元）。收入较</w:t>
      </w:r>
      <w:r>
        <w:rPr>
          <w:rFonts w:hint="eastAsia" w:eastAsia="方正仿宋_GBK"/>
          <w:sz w:val="32"/>
        </w:rPr>
        <w:t>2023</w:t>
      </w:r>
      <w:r>
        <w:rPr>
          <w:rFonts w:eastAsia="方正仿宋_GBK"/>
          <w:sz w:val="32"/>
        </w:rPr>
        <w:t>年</w:t>
      </w:r>
      <w:r>
        <w:rPr>
          <w:rFonts w:hint="eastAsia" w:eastAsia="方正仿宋_GBK"/>
          <w:sz w:val="32"/>
        </w:rPr>
        <w:t>减少53.44</w:t>
      </w:r>
      <w:r>
        <w:rPr>
          <w:rFonts w:eastAsia="方正仿宋_GBK"/>
          <w:sz w:val="32"/>
        </w:rPr>
        <w:t>万元，主要是公用经费拨款</w:t>
      </w:r>
      <w:r>
        <w:rPr>
          <w:rFonts w:hint="eastAsia" w:eastAsia="方正仿宋_GBK"/>
          <w:sz w:val="32"/>
        </w:rPr>
        <w:t>减少，以及上年项目资金结转减少</w:t>
      </w:r>
      <w:r>
        <w:rPr>
          <w:rFonts w:eastAsia="方正仿宋_GBK"/>
          <w:sz w:val="32"/>
        </w:rPr>
        <w:t>。</w:t>
      </w:r>
    </w:p>
    <w:p>
      <w:pPr>
        <w:spacing w:line="600" w:lineRule="exact"/>
        <w:ind w:firstLine="640" w:firstLineChars="200"/>
        <w:rPr>
          <w:rFonts w:eastAsia="方正仿宋_GBK"/>
          <w:sz w:val="32"/>
        </w:rPr>
      </w:pPr>
      <w:r>
        <w:rPr>
          <w:rFonts w:eastAsia="方正楷体_GBK"/>
          <w:sz w:val="32"/>
        </w:rPr>
        <w:t>（二）支出预算：</w:t>
      </w:r>
      <w:r>
        <w:rPr>
          <w:rFonts w:hint="eastAsia" w:eastAsia="方正仿宋_GBK"/>
          <w:sz w:val="32"/>
        </w:rPr>
        <w:t>2024</w:t>
      </w:r>
      <w:r>
        <w:rPr>
          <w:rFonts w:eastAsia="方正仿宋_GBK"/>
          <w:sz w:val="32"/>
        </w:rPr>
        <w:t>年年初预算数</w:t>
      </w:r>
      <w:r>
        <w:rPr>
          <w:rFonts w:hint="eastAsia" w:eastAsia="方正仿宋_GBK"/>
          <w:sz w:val="32"/>
        </w:rPr>
        <w:t>217.54</w:t>
      </w:r>
      <w:r>
        <w:rPr>
          <w:rFonts w:eastAsia="方正仿宋_GBK"/>
          <w:sz w:val="32"/>
        </w:rPr>
        <w:t>万元，其中：教育支出预算</w:t>
      </w:r>
      <w:r>
        <w:rPr>
          <w:rFonts w:hint="eastAsia" w:eastAsia="方正仿宋_GBK"/>
          <w:sz w:val="32"/>
        </w:rPr>
        <w:t>186.76</w:t>
      </w:r>
      <w:r>
        <w:rPr>
          <w:rFonts w:eastAsia="方正仿宋_GBK"/>
          <w:sz w:val="32"/>
        </w:rPr>
        <w:t>万元，社会保障和就业支出预算</w:t>
      </w:r>
      <w:r>
        <w:rPr>
          <w:rFonts w:hint="eastAsia" w:eastAsia="方正仿宋_GBK"/>
          <w:sz w:val="32"/>
        </w:rPr>
        <w:t>15.36</w:t>
      </w:r>
      <w:r>
        <w:rPr>
          <w:rFonts w:eastAsia="方正仿宋_GBK"/>
          <w:sz w:val="32"/>
        </w:rPr>
        <w:t>万元，卫生健康支出预算7.</w:t>
      </w:r>
      <w:r>
        <w:rPr>
          <w:rFonts w:hint="eastAsia" w:eastAsia="方正仿宋_GBK"/>
          <w:sz w:val="32"/>
        </w:rPr>
        <w:t>74</w:t>
      </w:r>
      <w:r>
        <w:rPr>
          <w:rFonts w:eastAsia="方正仿宋_GBK"/>
          <w:sz w:val="32"/>
        </w:rPr>
        <w:t>万元，住房保障支出预算</w:t>
      </w:r>
      <w:r>
        <w:rPr>
          <w:rFonts w:hint="eastAsia" w:eastAsia="方正仿宋_GBK"/>
          <w:sz w:val="32"/>
        </w:rPr>
        <w:t>7.68</w:t>
      </w:r>
      <w:r>
        <w:rPr>
          <w:rFonts w:eastAsia="方正仿宋_GBK"/>
          <w:sz w:val="32"/>
        </w:rPr>
        <w:t>万元。支出预算较</w:t>
      </w:r>
      <w:r>
        <w:rPr>
          <w:rFonts w:hint="eastAsia" w:eastAsia="方正仿宋_GBK"/>
          <w:sz w:val="32"/>
        </w:rPr>
        <w:t>2023</w:t>
      </w:r>
      <w:r>
        <w:rPr>
          <w:rFonts w:eastAsia="方正仿宋_GBK"/>
          <w:sz w:val="32"/>
        </w:rPr>
        <w:t>年</w:t>
      </w:r>
      <w:r>
        <w:rPr>
          <w:rFonts w:hint="eastAsia" w:eastAsia="方正仿宋_GBK"/>
          <w:sz w:val="32"/>
        </w:rPr>
        <w:t>减少53.44</w:t>
      </w:r>
      <w:r>
        <w:rPr>
          <w:rFonts w:eastAsia="方正仿宋_GBK"/>
          <w:sz w:val="32"/>
        </w:rPr>
        <w:t>万元，其中基本支出预算</w:t>
      </w:r>
      <w:r>
        <w:rPr>
          <w:rFonts w:hint="eastAsia" w:eastAsia="方正仿宋_GBK"/>
          <w:sz w:val="32"/>
        </w:rPr>
        <w:t>增加35.35</w:t>
      </w:r>
      <w:r>
        <w:rPr>
          <w:rFonts w:eastAsia="方正仿宋_GBK"/>
          <w:sz w:val="32"/>
        </w:rPr>
        <w:t>万元，项目支出预算减少</w:t>
      </w:r>
      <w:r>
        <w:rPr>
          <w:rFonts w:hint="eastAsia" w:eastAsia="方正仿宋_GBK"/>
          <w:sz w:val="32"/>
        </w:rPr>
        <w:t>88.79</w:t>
      </w:r>
      <w:r>
        <w:rPr>
          <w:rFonts w:eastAsia="方正仿宋_GBK"/>
          <w:sz w:val="32"/>
        </w:rPr>
        <w:t>万元。</w:t>
      </w:r>
    </w:p>
    <w:p>
      <w:pPr>
        <w:spacing w:line="600" w:lineRule="exact"/>
        <w:ind w:left="640"/>
        <w:rPr>
          <w:rFonts w:eastAsia="方正黑体_GBK"/>
          <w:sz w:val="32"/>
        </w:rPr>
      </w:pPr>
      <w:r>
        <w:rPr>
          <w:rFonts w:eastAsia="方正黑体_GBK"/>
          <w:sz w:val="32"/>
        </w:rPr>
        <w:t>三、部门预算情况说明</w:t>
      </w:r>
    </w:p>
    <w:p>
      <w:pPr>
        <w:spacing w:line="600" w:lineRule="exact"/>
        <w:ind w:firstLine="640" w:firstLineChars="200"/>
        <w:rPr>
          <w:rFonts w:eastAsia="方正仿宋_GBK"/>
          <w:sz w:val="32"/>
        </w:rPr>
      </w:pPr>
      <w:r>
        <w:rPr>
          <w:rFonts w:hint="eastAsia" w:eastAsia="方正仿宋_GBK"/>
          <w:sz w:val="32"/>
        </w:rPr>
        <w:t>2024</w:t>
      </w:r>
      <w:r>
        <w:rPr>
          <w:rFonts w:eastAsia="方正仿宋_GBK"/>
          <w:sz w:val="32"/>
        </w:rPr>
        <w:t>年一般公共预算财政拨款收入</w:t>
      </w:r>
      <w:r>
        <w:rPr>
          <w:rFonts w:hint="eastAsia" w:eastAsia="方正仿宋_GBK"/>
          <w:sz w:val="32"/>
        </w:rPr>
        <w:t>217.54</w:t>
      </w:r>
      <w:r>
        <w:rPr>
          <w:rFonts w:eastAsia="方正仿宋_GBK"/>
          <w:sz w:val="32"/>
        </w:rPr>
        <w:t>万元（含上年结转</w:t>
      </w:r>
      <w:r>
        <w:rPr>
          <w:rFonts w:hint="eastAsia" w:eastAsia="方正仿宋_GBK"/>
          <w:sz w:val="32"/>
        </w:rPr>
        <w:t>0.57</w:t>
      </w:r>
      <w:r>
        <w:rPr>
          <w:rFonts w:eastAsia="方正仿宋_GBK"/>
          <w:sz w:val="32"/>
        </w:rPr>
        <w:t>万元），一般公共预算财政拨款支出</w:t>
      </w:r>
      <w:r>
        <w:rPr>
          <w:rFonts w:hint="eastAsia" w:eastAsia="方正仿宋_GBK"/>
          <w:sz w:val="32"/>
        </w:rPr>
        <w:t>217.54</w:t>
      </w:r>
      <w:r>
        <w:rPr>
          <w:rFonts w:eastAsia="方正仿宋_GBK"/>
          <w:sz w:val="32"/>
        </w:rPr>
        <w:t>万元，比</w:t>
      </w:r>
      <w:r>
        <w:rPr>
          <w:rFonts w:hint="eastAsia" w:eastAsia="方正仿宋_GBK"/>
          <w:sz w:val="32"/>
        </w:rPr>
        <w:t>2023</w:t>
      </w:r>
      <w:r>
        <w:rPr>
          <w:rFonts w:eastAsia="方正仿宋_GBK"/>
          <w:sz w:val="32"/>
        </w:rPr>
        <w:t>年</w:t>
      </w:r>
      <w:r>
        <w:rPr>
          <w:rFonts w:hint="eastAsia" w:eastAsia="方正仿宋_GBK"/>
          <w:sz w:val="32"/>
        </w:rPr>
        <w:t>减少53.44</w:t>
      </w:r>
      <w:r>
        <w:rPr>
          <w:rFonts w:eastAsia="方正仿宋_GBK"/>
          <w:sz w:val="32"/>
        </w:rPr>
        <w:t>万元。其中：基本支出</w:t>
      </w:r>
      <w:r>
        <w:rPr>
          <w:rFonts w:hint="eastAsia" w:eastAsia="方正仿宋_GBK"/>
          <w:sz w:val="32"/>
        </w:rPr>
        <w:t>171.16</w:t>
      </w:r>
      <w:r>
        <w:rPr>
          <w:rFonts w:eastAsia="方正仿宋_GBK"/>
          <w:sz w:val="32"/>
        </w:rPr>
        <w:t>万元，比</w:t>
      </w:r>
      <w:r>
        <w:rPr>
          <w:rFonts w:hint="eastAsia" w:eastAsia="方正仿宋_GBK"/>
          <w:sz w:val="32"/>
        </w:rPr>
        <w:t>2023</w:t>
      </w:r>
      <w:r>
        <w:rPr>
          <w:rFonts w:eastAsia="方正仿宋_GBK"/>
          <w:sz w:val="32"/>
        </w:rPr>
        <w:t>年</w:t>
      </w:r>
      <w:r>
        <w:rPr>
          <w:rFonts w:hint="eastAsia" w:eastAsia="方正仿宋_GBK"/>
          <w:sz w:val="32"/>
        </w:rPr>
        <w:t>增加35.35</w:t>
      </w:r>
      <w:r>
        <w:rPr>
          <w:rFonts w:eastAsia="方正仿宋_GBK"/>
          <w:sz w:val="32"/>
        </w:rPr>
        <w:t>万元，主要原因</w:t>
      </w:r>
      <w:r>
        <w:rPr>
          <w:rFonts w:hint="eastAsia" w:eastAsia="方正仿宋_GBK"/>
          <w:sz w:val="32"/>
        </w:rPr>
        <w:t>是</w:t>
      </w:r>
      <w:r>
        <w:rPr>
          <w:rFonts w:eastAsia="方正仿宋_GBK"/>
          <w:sz w:val="32"/>
        </w:rPr>
        <w:t>超额绩效调标，人员岗位、薪级晋升调标等，主要用于保障在职人员工资福利及社会保险缴费等，保障正常运转的各项商品服务支出；项目支出</w:t>
      </w:r>
      <w:r>
        <w:rPr>
          <w:rFonts w:hint="eastAsia" w:eastAsia="方正仿宋_GBK"/>
          <w:sz w:val="32"/>
        </w:rPr>
        <w:t>46.38</w:t>
      </w:r>
      <w:r>
        <w:rPr>
          <w:rFonts w:eastAsia="方正仿宋_GBK"/>
          <w:sz w:val="32"/>
        </w:rPr>
        <w:t>万元，比</w:t>
      </w:r>
      <w:r>
        <w:rPr>
          <w:rFonts w:hint="eastAsia" w:eastAsia="方正仿宋_GBK"/>
          <w:sz w:val="32"/>
        </w:rPr>
        <w:t>2023</w:t>
      </w:r>
      <w:r>
        <w:rPr>
          <w:rFonts w:eastAsia="方正仿宋_GBK"/>
          <w:sz w:val="32"/>
        </w:rPr>
        <w:t>年</w:t>
      </w:r>
      <w:r>
        <w:rPr>
          <w:rFonts w:hint="eastAsia" w:eastAsia="方正仿宋_GBK"/>
          <w:sz w:val="32"/>
        </w:rPr>
        <w:t>减少88.79</w:t>
      </w:r>
      <w:r>
        <w:rPr>
          <w:rFonts w:eastAsia="方正仿宋_GBK"/>
          <w:sz w:val="32"/>
        </w:rPr>
        <w:t>万元，主要原因</w:t>
      </w:r>
      <w:r>
        <w:rPr>
          <w:rFonts w:hint="eastAsia" w:eastAsia="方正仿宋_GBK"/>
          <w:sz w:val="32"/>
        </w:rPr>
        <w:t>是校园后堡坎排危加固及运动场改造项目和厨房维修整治项目已竣工结算。主要用于扩大学前教育资源教学楼治漏、校园保安服务、学前资助、学前营改重点项目。</w:t>
      </w:r>
    </w:p>
    <w:p>
      <w:pPr>
        <w:spacing w:line="600" w:lineRule="exact"/>
        <w:ind w:firstLine="640" w:firstLineChars="200"/>
        <w:rPr>
          <w:rFonts w:eastAsia="方正仿宋_GBK"/>
          <w:sz w:val="32"/>
        </w:rPr>
      </w:pPr>
      <w:r>
        <w:rPr>
          <w:rFonts w:eastAsia="方正仿宋_GBK"/>
          <w:sz w:val="32"/>
        </w:rPr>
        <w:t>重庆市开州区</w:t>
      </w:r>
      <w:r>
        <w:rPr>
          <w:rFonts w:hint="eastAsia" w:eastAsia="方正仿宋_GBK"/>
          <w:sz w:val="32"/>
        </w:rPr>
        <w:t>三汇口乡中心幼儿园</w:t>
      </w:r>
      <w:r>
        <w:rPr>
          <w:rFonts w:eastAsia="方正仿宋_GBK"/>
          <w:sz w:val="32"/>
        </w:rPr>
        <w:t>2024年无使用政府性基金预算拨款安排的支出。</w:t>
      </w:r>
    </w:p>
    <w:p>
      <w:pPr>
        <w:spacing w:line="600" w:lineRule="exact"/>
        <w:ind w:firstLine="640" w:firstLineChars="200"/>
        <w:rPr>
          <w:rFonts w:eastAsia="方正仿宋_GBK"/>
          <w:sz w:val="32"/>
        </w:rPr>
      </w:pPr>
      <w:r>
        <w:rPr>
          <w:rFonts w:eastAsia="方正黑体_GBK"/>
          <w:sz w:val="32"/>
        </w:rPr>
        <w:t>四、</w:t>
      </w:r>
      <w:r>
        <w:rPr>
          <w:rFonts w:eastAsia="方正仿宋_GBK"/>
          <w:sz w:val="32"/>
        </w:rPr>
        <w:t>“</w:t>
      </w:r>
      <w:r>
        <w:rPr>
          <w:rFonts w:eastAsia="方正黑体_GBK"/>
          <w:sz w:val="32"/>
        </w:rPr>
        <w:t>三公</w:t>
      </w:r>
      <w:r>
        <w:rPr>
          <w:rFonts w:eastAsia="方正仿宋_GBK"/>
          <w:sz w:val="32"/>
        </w:rPr>
        <w:t>”</w:t>
      </w:r>
      <w:r>
        <w:rPr>
          <w:rFonts w:eastAsia="方正黑体_GBK"/>
          <w:sz w:val="32"/>
        </w:rPr>
        <w:t>经费情况说明</w:t>
      </w:r>
    </w:p>
    <w:p>
      <w:pPr>
        <w:spacing w:line="600" w:lineRule="exact"/>
        <w:ind w:firstLine="600"/>
        <w:rPr>
          <w:rFonts w:eastAsia="方正仿宋_GBK"/>
          <w:sz w:val="32"/>
        </w:rPr>
      </w:pPr>
      <w:r>
        <w:rPr>
          <w:rFonts w:eastAsia="方正仿宋_GBK"/>
          <w:sz w:val="32"/>
        </w:rPr>
        <w:t>重庆市开州区</w:t>
      </w:r>
      <w:r>
        <w:rPr>
          <w:rFonts w:hint="eastAsia" w:eastAsia="方正仿宋_GBK"/>
          <w:sz w:val="32"/>
        </w:rPr>
        <w:t>三汇口乡中心幼儿园</w:t>
      </w:r>
      <w:r>
        <w:rPr>
          <w:rFonts w:eastAsia="方正仿宋_GBK"/>
          <w:sz w:val="32"/>
        </w:rPr>
        <w:t>2024年未安排“三公”经费预算。</w:t>
      </w:r>
    </w:p>
    <w:p>
      <w:pPr>
        <w:spacing w:line="600" w:lineRule="exact"/>
        <w:ind w:firstLine="640" w:firstLineChars="200"/>
        <w:rPr>
          <w:rFonts w:eastAsia="方正黑体_GBK"/>
          <w:sz w:val="32"/>
        </w:rPr>
      </w:pPr>
      <w:r>
        <w:rPr>
          <w:rFonts w:eastAsia="方正黑体_GBK"/>
          <w:sz w:val="32"/>
        </w:rPr>
        <w:t>五、其他重要事项的情况说明</w:t>
      </w:r>
    </w:p>
    <w:p>
      <w:pPr>
        <w:ind w:firstLine="640" w:firstLineChars="200"/>
        <w:rPr>
          <w:rFonts w:eastAsia="方正仿宋_GBK"/>
          <w:sz w:val="32"/>
        </w:rPr>
      </w:pPr>
      <w:r>
        <w:rPr>
          <w:rFonts w:eastAsia="方正仿宋_GBK"/>
          <w:sz w:val="32"/>
        </w:rPr>
        <w:t>1.我单位不在机关运行经费统计范围之内。</w:t>
      </w:r>
    </w:p>
    <w:p>
      <w:pPr>
        <w:ind w:firstLine="640" w:firstLineChars="200"/>
        <w:rPr>
          <w:rFonts w:eastAsia="方正仿宋_GBK"/>
          <w:sz w:val="32"/>
        </w:rPr>
      </w:pPr>
      <w:r>
        <w:rPr>
          <w:rFonts w:eastAsia="方正仿宋_GBK"/>
          <w:sz w:val="32"/>
        </w:rPr>
        <w:t>2.政府采购情况。本我单位</w:t>
      </w:r>
      <w:r>
        <w:rPr>
          <w:rFonts w:hint="eastAsia" w:eastAsia="方正仿宋_GBK"/>
          <w:sz w:val="32"/>
        </w:rPr>
        <w:t>2024</w:t>
      </w:r>
      <w:r>
        <w:rPr>
          <w:rFonts w:eastAsia="方正仿宋_GBK"/>
          <w:sz w:val="32"/>
        </w:rPr>
        <w:t>年无政府采购。</w:t>
      </w:r>
    </w:p>
    <w:p>
      <w:pPr>
        <w:ind w:firstLine="640" w:firstLineChars="200"/>
        <w:rPr>
          <w:rFonts w:eastAsia="方正仿宋_GBK"/>
          <w:color w:val="000000"/>
          <w:sz w:val="32"/>
        </w:rPr>
      </w:pPr>
      <w:r>
        <w:rPr>
          <w:rFonts w:eastAsia="方正仿宋_GBK"/>
          <w:sz w:val="32"/>
        </w:rPr>
        <w:t>3. 绩效目标设置情况。</w:t>
      </w:r>
      <w:r>
        <w:rPr>
          <w:rFonts w:hint="eastAsia" w:eastAsia="方正仿宋_GBK"/>
          <w:color w:val="000000"/>
          <w:sz w:val="32"/>
        </w:rPr>
        <w:t>2024</w:t>
      </w:r>
      <w:r>
        <w:rPr>
          <w:rFonts w:eastAsia="方正仿宋_GBK"/>
          <w:color w:val="000000"/>
          <w:sz w:val="32"/>
        </w:rPr>
        <w:t>年项目支出均实行了绩效目标管理，涉及一般公共预算当年财政拨款</w:t>
      </w:r>
      <w:r>
        <w:rPr>
          <w:rFonts w:hint="eastAsia" w:eastAsia="方正仿宋_GBK"/>
          <w:color w:val="000000"/>
          <w:sz w:val="32"/>
        </w:rPr>
        <w:t>45.81</w:t>
      </w:r>
      <w:r>
        <w:rPr>
          <w:rFonts w:eastAsia="方正仿宋_GBK"/>
          <w:color w:val="000000"/>
          <w:sz w:val="32"/>
        </w:rPr>
        <w:t>万元。</w:t>
      </w:r>
    </w:p>
    <w:p>
      <w:pPr>
        <w:ind w:firstLine="640" w:firstLineChars="200"/>
        <w:rPr>
          <w:rFonts w:eastAsia="方正仿宋_GBK"/>
          <w:color w:val="000000"/>
          <w:sz w:val="32"/>
        </w:rPr>
      </w:pPr>
      <w:r>
        <w:rPr>
          <w:rFonts w:eastAsia="方正仿宋_GBK"/>
          <w:color w:val="000000"/>
          <w:sz w:val="32"/>
        </w:rPr>
        <w:t>4.国有资产占有使用情况。</w:t>
      </w:r>
      <w:r>
        <w:rPr>
          <w:rFonts w:hint="eastAsia" w:eastAsia="方正仿宋_GBK"/>
          <w:color w:val="000000"/>
          <w:sz w:val="32"/>
          <w:lang w:eastAsia="zh-CN"/>
        </w:rPr>
        <w:t>截至</w:t>
      </w:r>
      <w:r>
        <w:rPr>
          <w:rFonts w:hint="eastAsia" w:eastAsia="方正仿宋_GBK"/>
          <w:color w:val="000000"/>
          <w:sz w:val="32"/>
        </w:rPr>
        <w:t>2023年12月，本单位共有车辆0辆，其中一般公务用车0辆、执勤执法用车0辆。2024年一般公共预算安排购置车辆0辆，其中一般公务用车0辆、执勤执法用车0辆。</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黑体_GBK"/>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eastAsia="方正仿宋_GBK"/>
          <w:sz w:val="32"/>
          <w:szCs w:val="32"/>
        </w:rPr>
      </w:pPr>
      <w:r>
        <w:rPr>
          <w:rFonts w:eastAsia="方正楷体_GBK"/>
          <w:sz w:val="32"/>
        </w:rPr>
        <w:t>（五）</w:t>
      </w:r>
      <w:r>
        <w:rPr>
          <w:rFonts w:eastAsia="方正仿宋_GBK"/>
          <w:sz w:val="32"/>
        </w:rPr>
        <w:t>“</w:t>
      </w:r>
      <w:r>
        <w:rPr>
          <w:rFonts w:eastAsia="方正楷体_GBK"/>
          <w:sz w:val="32"/>
        </w:rPr>
        <w:t>三公</w:t>
      </w:r>
      <w:r>
        <w:rPr>
          <w:rFonts w:eastAsia="方正仿宋_GBK"/>
          <w:sz w:val="32"/>
        </w:rPr>
        <w:t>”</w:t>
      </w:r>
      <w:r>
        <w:rPr>
          <w:rFonts w:eastAsia="方正楷体_GBK"/>
          <w:sz w:val="32"/>
        </w:rPr>
        <w:t>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eastAsia="方正仿宋_GBK"/>
          <w:sz w:val="32"/>
          <w:szCs w:val="32"/>
        </w:rPr>
      </w:pPr>
    </w:p>
    <w:p>
      <w:pPr>
        <w:spacing w:line="600" w:lineRule="exact"/>
        <w:ind w:firstLine="880" w:firstLineChars="200"/>
        <w:rPr>
          <w:rFonts w:eastAsia="方正小标宋_GBK"/>
          <w:sz w:val="44"/>
          <w:szCs w:val="44"/>
        </w:rPr>
      </w:pPr>
      <w:r>
        <w:rPr>
          <w:rFonts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eastAsia="方正黑体_GBK"/>
          <w:sz w:val="32"/>
        </w:rPr>
        <w:t>2024年部门预算公开报表（详见附表重庆市开州区</w:t>
      </w:r>
      <w:r>
        <w:rPr>
          <w:rFonts w:hint="eastAsia" w:eastAsia="方正黑体_GBK"/>
          <w:sz w:val="32"/>
        </w:rPr>
        <w:t>三汇口乡中心幼儿园</w:t>
      </w:r>
      <w:r>
        <w:rPr>
          <w:rFonts w:eastAsia="方正黑体_GBK"/>
          <w:sz w:val="32"/>
        </w:rPr>
        <w:t>2024年部门预算公开报表）</w:t>
      </w:r>
    </w:p>
    <w:p>
      <w:pPr>
        <w:spacing w:line="600" w:lineRule="exact"/>
        <w:rPr>
          <w:rFonts w:eastAsia="方正仿宋_GBK"/>
          <w:sz w:val="44"/>
          <w:szCs w:val="44"/>
        </w:rPr>
      </w:pPr>
      <w:r>
        <w:rPr>
          <w:rFonts w:eastAsia="方正仿宋_GBK"/>
          <w:b/>
          <w:sz w:val="32"/>
        </w:rPr>
        <w:t>部门预算公开联系人：</w:t>
      </w:r>
      <w:r>
        <w:rPr>
          <w:rFonts w:hint="eastAsia" w:eastAsia="方正仿宋_GBK"/>
          <w:b/>
          <w:sz w:val="32"/>
        </w:rPr>
        <w:t xml:space="preserve">姜莎莎 </w:t>
      </w:r>
      <w:r>
        <w:rPr>
          <w:rFonts w:eastAsia="方正仿宋_GBK"/>
          <w:b/>
          <w:sz w:val="32"/>
        </w:rPr>
        <w:t xml:space="preserve"> 联系方式：023-</w:t>
      </w:r>
      <w:r>
        <w:rPr>
          <w:rFonts w:hint="eastAsia" w:eastAsia="方正仿宋_GBK"/>
          <w:b/>
          <w:sz w:val="32"/>
        </w:rPr>
        <w:t>81759606</w:t>
      </w:r>
    </w:p>
    <w:p>
      <w:pPr>
        <w:spacing w:line="540" w:lineRule="exact"/>
        <w:jc w:val="center"/>
        <w:rPr>
          <w:rFonts w:eastAsia="方正小标宋_GBK"/>
          <w:sz w:val="44"/>
          <w:szCs w:val="44"/>
        </w:rPr>
      </w:pPr>
    </w:p>
    <w:p>
      <w:pPr>
        <w:spacing w:line="540" w:lineRule="exact"/>
        <w:rPr>
          <w:rFonts w:eastAsia="方正小标宋_GBK"/>
          <w:sz w:val="44"/>
          <w:szCs w:val="44"/>
        </w:rPr>
      </w:pPr>
    </w:p>
    <w:p>
      <w:pPr>
        <w:spacing w:line="540" w:lineRule="exact"/>
        <w:rPr>
          <w:rFonts w:eastAsia="方正小标宋_GBK"/>
          <w:sz w:val="44"/>
          <w:szCs w:val="44"/>
        </w:rPr>
      </w:pPr>
    </w:p>
    <w:p>
      <w:pPr>
        <w:spacing w:line="540" w:lineRule="exact"/>
        <w:rPr>
          <w:rFonts w:eastAsia="方正小标宋_GBK"/>
          <w:sz w:val="44"/>
          <w:szCs w:val="44"/>
        </w:rPr>
      </w:pPr>
    </w:p>
    <w:p>
      <w:pPr>
        <w:spacing w:line="540" w:lineRule="exact"/>
        <w:rPr>
          <w:rFonts w:eastAsia="方正小标宋_GBK"/>
          <w:sz w:val="44"/>
          <w:szCs w:val="44"/>
        </w:rPr>
      </w:pPr>
    </w:p>
    <w:p>
      <w:pPr>
        <w:spacing w:line="540" w:lineRule="exact"/>
        <w:rPr>
          <w:rFonts w:eastAsia="方正小标宋_GBK"/>
          <w:sz w:val="44"/>
          <w:szCs w:val="44"/>
        </w:rPr>
      </w:pPr>
    </w:p>
    <w:p>
      <w:pPr>
        <w:spacing w:line="540" w:lineRule="exact"/>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仿宋_GBK"/>
          <w:sz w:val="32"/>
          <w:szCs w:val="32"/>
        </w:rPr>
      </w:pPr>
      <w:r>
        <w:rPr>
          <w:rFonts w:eastAsia="方正仿宋_GBK"/>
          <w:sz w:val="32"/>
          <w:szCs w:val="32"/>
        </w:rPr>
        <w:t xml:space="preserve">            </w:t>
      </w:r>
      <w:r>
        <w:rPr>
          <w:rFonts w:eastAsia="方正仿宋_GBK"/>
          <w:color w:val="000000"/>
          <w:sz w:val="32"/>
        </w:rPr>
        <w:t xml:space="preserve">  重庆市开州区</w:t>
      </w:r>
      <w:r>
        <w:rPr>
          <w:rFonts w:hint="eastAsia" w:eastAsia="方正仿宋_GBK"/>
          <w:color w:val="000000"/>
          <w:sz w:val="32"/>
        </w:rPr>
        <w:t>三汇口乡中心幼儿园</w:t>
      </w:r>
      <w:r>
        <w:rPr>
          <w:rFonts w:eastAsia="方正仿宋_GBK"/>
          <w:color w:val="000000"/>
          <w:sz w:val="32"/>
        </w:rPr>
        <w:t xml:space="preserve">             </w:t>
      </w:r>
      <w:r>
        <w:rPr>
          <w:rFonts w:hint="eastAsia" w:eastAsia="方正仿宋_GBK"/>
          <w:color w:val="000000"/>
          <w:sz w:val="32"/>
        </w:rPr>
        <w:t xml:space="preserve">         </w:t>
      </w:r>
    </w:p>
    <w:p>
      <w:pPr>
        <w:spacing w:line="540" w:lineRule="exact"/>
        <w:jc w:val="center"/>
        <w:rPr>
          <w:rFonts w:eastAsia="方正小标宋_GBK"/>
          <w:sz w:val="44"/>
          <w:szCs w:val="44"/>
        </w:rPr>
      </w:pPr>
      <w:r>
        <w:rPr>
          <w:rFonts w:hint="eastAsia" w:eastAsia="方正仿宋_GBK"/>
          <w:color w:val="000000"/>
          <w:sz w:val="32"/>
        </w:rPr>
        <w:t xml:space="preserve">             2024年3月21日</w:t>
      </w:r>
    </w:p>
    <w:p>
      <w:pPr>
        <w:spacing w:line="540" w:lineRule="exact"/>
        <w:jc w:val="center"/>
        <w:rPr>
          <w:rFonts w:eastAsia="方正小标宋_GBK"/>
          <w:sz w:val="44"/>
          <w:szCs w:val="44"/>
        </w:rPr>
      </w:pPr>
    </w:p>
    <w:p>
      <w:pPr>
        <w:spacing w:line="540" w:lineRule="exact"/>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640" w:lineRule="exact"/>
        <w:jc w:val="center"/>
        <w:rPr>
          <w:rFonts w:eastAsia="方正仿宋_GBK"/>
          <w:sz w:val="32"/>
          <w:szCs w:val="32"/>
        </w:rPr>
      </w:pPr>
    </w:p>
    <w:p>
      <w:pPr>
        <w:overflowPunct w:val="0"/>
        <w:spacing w:line="480" w:lineRule="exact"/>
        <w:ind w:firstLine="210" w:firstLineChars="100"/>
        <w:jc w:val="left"/>
        <w:rPr>
          <w:rFonts w:eastAsia="方正仿宋_GBK"/>
          <w:sz w:val="36"/>
          <w:szCs w:val="36"/>
        </w:rPr>
      </w:pPr>
      <w: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pt;width:442.2pt;mso-position-horizontal-relative:margin;z-index:251660288;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eastAsia="方正仿宋_GBK"/>
          <w:kern w:val="0"/>
          <w:sz w:val="28"/>
          <w:szCs w:val="28"/>
        </w:rPr>
        <w:t>重庆市开州区</w:t>
      </w:r>
      <w:r>
        <w:rPr>
          <w:rFonts w:hint="eastAsia" w:eastAsia="方正仿宋_GBK"/>
          <w:kern w:val="0"/>
          <w:sz w:val="28"/>
          <w:szCs w:val="28"/>
        </w:rPr>
        <w:t>三汇口乡中心幼儿园</w:t>
      </w:r>
      <w:r>
        <w:rPr>
          <w:rFonts w:eastAsia="方正仿宋_GBK"/>
          <w:kern w:val="0"/>
          <w:sz w:val="28"/>
          <w:szCs w:val="28"/>
        </w:rPr>
        <w:t>办公室      2024年3月21日印发</w:t>
      </w:r>
    </w:p>
    <w:sectPr>
      <w:footerReference r:id="rId3" w:type="default"/>
      <w:footerReference r:id="rId4" w:type="even"/>
      <w:pgSz w:w="11906" w:h="16838"/>
      <w:pgMar w:top="2098" w:right="1531" w:bottom="1985"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910F78-41DA-4798-9A8A-051B3812FD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4474409-EC93-4D5F-91C0-C530ED7D8656}"/>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3" w:fontKey="{429D3B1B-BB9F-473E-AF72-C3D60C5AF04C}"/>
  </w:font>
  <w:font w:name="方正小标宋_GBK">
    <w:panose1 w:val="03000509000000000000"/>
    <w:charset w:val="86"/>
    <w:family w:val="script"/>
    <w:pitch w:val="default"/>
    <w:sig w:usb0="00000001" w:usb1="080E0000" w:usb2="00000000" w:usb3="00000000" w:csb0="00040000" w:csb1="00000000"/>
    <w:embedRegular r:id="rId4" w:fontKey="{6B419315-D29B-4FF2-86C7-D2F05A0B7A0F}"/>
  </w:font>
  <w:font w:name="方正仿宋_GBK">
    <w:panose1 w:val="03000509000000000000"/>
    <w:charset w:val="86"/>
    <w:family w:val="script"/>
    <w:pitch w:val="default"/>
    <w:sig w:usb0="00000001" w:usb1="080E0000" w:usb2="00000000" w:usb3="00000000" w:csb0="00040000" w:csb1="00000000"/>
    <w:embedRegular r:id="rId5" w:fontKey="{BF715081-6C7D-4AF2-96F3-23BD77BB20F1}"/>
  </w:font>
  <w:font w:name="方正楷体_GBK">
    <w:panose1 w:val="03000509000000000000"/>
    <w:charset w:val="86"/>
    <w:family w:val="script"/>
    <w:pitch w:val="default"/>
    <w:sig w:usb0="00000001" w:usb1="080E0000" w:usb2="00000000" w:usb3="00000000" w:csb0="00040000" w:csb1="00000000"/>
    <w:embedRegular r:id="rId6" w:fontKey="{592428D0-1773-42BA-B78F-7FF41C2B3578}"/>
  </w:font>
  <w:font w:name="华文中宋">
    <w:altName w:val="宋体"/>
    <w:panose1 w:val="02010600040101010101"/>
    <w:charset w:val="86"/>
    <w:family w:val="auto"/>
    <w:pitch w:val="default"/>
    <w:sig w:usb0="00000000" w:usb1="00000000" w:usb2="00000010" w:usb3="00000000" w:csb0="0004009F" w:csb1="00000000"/>
    <w:embedRegular r:id="rId7" w:fontKey="{BD1C54CD-BF29-4CAB-8FB0-FDA4E77AA199}"/>
  </w:font>
  <w:font w:name="方正黑体_GBK">
    <w:panose1 w:val="03000509000000000000"/>
    <w:charset w:val="86"/>
    <w:family w:val="script"/>
    <w:pitch w:val="default"/>
    <w:sig w:usb0="00000001" w:usb1="080E0000" w:usb2="00000000" w:usb3="00000000" w:csb0="00040000" w:csb1="00000000"/>
    <w:embedRegular r:id="rId8" w:fontKey="{74E4BD4C-F3F3-4E52-8B56-E59ABA43EC25}"/>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4BD76ADF"/>
    <w:rsid w:val="00084A36"/>
    <w:rsid w:val="00154FFD"/>
    <w:rsid w:val="001924C5"/>
    <w:rsid w:val="00312C10"/>
    <w:rsid w:val="00316268"/>
    <w:rsid w:val="00537F1A"/>
    <w:rsid w:val="005D0CAD"/>
    <w:rsid w:val="00777CFA"/>
    <w:rsid w:val="00B1037C"/>
    <w:rsid w:val="00B4519D"/>
    <w:rsid w:val="00BC7BD5"/>
    <w:rsid w:val="00D224BC"/>
    <w:rsid w:val="0224187C"/>
    <w:rsid w:val="031421DD"/>
    <w:rsid w:val="04183B22"/>
    <w:rsid w:val="07230354"/>
    <w:rsid w:val="09A3700D"/>
    <w:rsid w:val="12D20E80"/>
    <w:rsid w:val="1D5C70A8"/>
    <w:rsid w:val="1E7F62D3"/>
    <w:rsid w:val="22F6491F"/>
    <w:rsid w:val="24963EF2"/>
    <w:rsid w:val="28154059"/>
    <w:rsid w:val="2861278D"/>
    <w:rsid w:val="335C05C6"/>
    <w:rsid w:val="39133D00"/>
    <w:rsid w:val="43E50164"/>
    <w:rsid w:val="454D27D4"/>
    <w:rsid w:val="46B67B95"/>
    <w:rsid w:val="47217243"/>
    <w:rsid w:val="4BD76ADF"/>
    <w:rsid w:val="4C985D61"/>
    <w:rsid w:val="500D078A"/>
    <w:rsid w:val="57B10631"/>
    <w:rsid w:val="5F8623A3"/>
    <w:rsid w:val="600A4D82"/>
    <w:rsid w:val="61FA4720"/>
    <w:rsid w:val="64E43D4D"/>
    <w:rsid w:val="66451DB1"/>
    <w:rsid w:val="704832EA"/>
    <w:rsid w:val="712B2317"/>
    <w:rsid w:val="765B7C8E"/>
    <w:rsid w:val="76D6363C"/>
    <w:rsid w:val="7709519F"/>
    <w:rsid w:val="788F1E71"/>
    <w:rsid w:val="7D644D4B"/>
    <w:rsid w:val="7D6F2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firstLineChars="200"/>
    </w:pPr>
    <w:rPr>
      <w:rFonts w:ascii="仿宋_GB2312" w:eastAsia="仿宋_GB2312"/>
      <w:sz w:val="32"/>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0"/>
    <w:pPr>
      <w:tabs>
        <w:tab w:val="center" w:pos="4153"/>
        <w:tab w:val="right" w:pos="8306"/>
      </w:tabs>
      <w:snapToGrid w:val="0"/>
      <w:jc w:val="center"/>
    </w:pPr>
    <w:rPr>
      <w:sz w:val="18"/>
      <w:szCs w:val="18"/>
    </w:rPr>
  </w:style>
  <w:style w:type="character" w:styleId="7">
    <w:name w:val="page number"/>
    <w:autoRedefine/>
    <w:qFormat/>
    <w:uiPriority w:val="0"/>
  </w:style>
  <w:style w:type="paragraph" w:styleId="8">
    <w:name w:val="List Paragraph"/>
    <w:basedOn w:val="1"/>
    <w:autoRedefine/>
    <w:qFormat/>
    <w:uiPriority w:val="34"/>
    <w:pPr>
      <w:ind w:firstLine="420" w:firstLineChars="200"/>
    </w:pPr>
  </w:style>
  <w:style w:type="paragraph" w:customStyle="1" w:styleId="9">
    <w:name w:val="_Style 7"/>
    <w:basedOn w:val="1"/>
    <w:next w:val="8"/>
    <w:autoRedefine/>
    <w:qFormat/>
    <w:uiPriority w:val="34"/>
    <w:pPr>
      <w:ind w:firstLine="420" w:firstLineChars="200"/>
    </w:pPr>
    <w:rPr>
      <w:rFonts w:ascii="Calibri" w:hAnsi="Calibri"/>
    </w:rPr>
  </w:style>
  <w:style w:type="character" w:customStyle="1" w:styleId="10">
    <w:name w:val="页眉 Char"/>
    <w:basedOn w:val="6"/>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354</Words>
  <Characters>2020</Characters>
  <Lines>16</Lines>
  <Paragraphs>4</Paragraphs>
  <TotalTime>3</TotalTime>
  <ScaleCrop>false</ScaleCrop>
  <LinksUpToDate>false</LinksUpToDate>
  <CharactersWithSpaces>2370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2024-03-05T07:25:00Z</dcterms:created>
  <dc:creator>^_^ 小猫</dc:creator>
  <cp:lastModifiedBy>Administrator</cp:lastModifiedBy>
  <dcterms:modified xsi:type="dcterms:W3CDTF">2024-03-29T07:23:13Z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70AB7785AD6D49D6BA4E6FD5811A02E1_13</vt:lpwstr>
  </property>
</Properties>
</file>