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黑体"/>
          <w:sz w:val="36"/>
        </w:rPr>
      </w:pPr>
      <w:bookmarkStart w:id="0" w:name="_GoBack"/>
      <w:bookmarkEnd w:id="0"/>
      <w:r>
        <w:rPr>
          <w:sz w:val="36"/>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127000</wp:posOffset>
                </wp:positionV>
                <wp:extent cx="5493385" cy="826770"/>
                <wp:effectExtent l="6350" t="6350" r="17145" b="20320"/>
                <wp:wrapSquare wrapText="bothSides"/>
                <wp:docPr id="3" name="文本框 3"/>
                <wp:cNvGraphicFramePr/>
                <a:graphic xmlns:a="http://schemas.openxmlformats.org/drawingml/2006/main">
                  <a:graphicData uri="http://schemas.microsoft.com/office/word/2010/wordprocessingShape">
                    <wps:wsp>
                      <wps:cNvSpPr txBox="1"/>
                      <wps:spPr>
                        <a:xfrm>
                          <a:off x="0" y="0"/>
                          <a:ext cx="5493385" cy="826770"/>
                        </a:xfrm>
                        <a:prstGeom prst="rect">
                          <a:avLst/>
                        </a:prstGeom>
                        <a:solidFill>
                          <a:schemeClr val="bg1"/>
                        </a:solidFill>
                        <a:ln w="12700" cmpd="sng">
                          <a:solidFill>
                            <a:schemeClr val="bg1"/>
                          </a:solidFill>
                          <a:prstDash val="solid"/>
                        </a:ln>
                      </wps:spPr>
                      <wps:style>
                        <a:lnRef idx="0">
                          <a:schemeClr val="accent1"/>
                        </a:lnRef>
                        <a:fillRef idx="0">
                          <a:schemeClr val="accent1"/>
                        </a:fillRef>
                        <a:effectRef idx="0">
                          <a:schemeClr val="accent1"/>
                        </a:effectRef>
                        <a:fontRef idx="minor">
                          <a:schemeClr val="dk1"/>
                        </a:fontRef>
                      </wps:style>
                      <wps:txbx>
                        <w:txbxContent>
                          <w:p>
                            <w:pPr>
                              <w:jc w:val="distribute"/>
                              <w:rPr>
                                <w:rFonts w:eastAsia="方正小标宋简体"/>
                                <w:b/>
                                <w:bCs/>
                                <w:outline/>
                                <w:color w:val="FFFFFF"/>
                                <w:w w:val="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eastAsia="方正小标宋简体"/>
                                <w:b/>
                                <w:bCs/>
                                <w:color w:val="FF0000"/>
                                <w:w w:val="80"/>
                                <w:sz w:val="72"/>
                                <w:szCs w:val="72"/>
                                <w14:shadow w14:blurRad="38100" w14:dist="19050" w14:dir="2700000" w14:sx="100000" w14:sy="100000" w14:kx="0" w14:ky="0" w14:algn="tl">
                                  <w14:schemeClr w14:val="dk1">
                                    <w14:alpha w14:val="60000"/>
                                  </w14:schemeClr>
                                </w14:shadow>
                                <w14:props3d w14:extrusionH="0" w14:contourW="0" w14:prstMaterial="clear"/>
                              </w:rPr>
                              <w:t>重庆市开州区</w:t>
                            </w:r>
                            <w:r>
                              <w:rPr>
                                <w:rFonts w:hint="eastAsia" w:eastAsia="方正小标宋简体"/>
                                <w:b/>
                                <w:bCs/>
                                <w:color w:val="FF0000"/>
                                <w:w w:val="80"/>
                                <w:sz w:val="72"/>
                                <w:szCs w:val="72"/>
                                <w14:shadow w14:blurRad="38100" w14:dist="19050" w14:dir="2700000" w14:sx="100000" w14:sy="100000" w14:kx="0" w14:ky="0" w14:algn="tl">
                                  <w14:schemeClr w14:val="dk1">
                                    <w14:alpha w14:val="60000"/>
                                  </w14:schemeClr>
                                </w14:shadow>
                                <w14:props3d w14:extrusionH="0" w14:contourW="0" w14:prstMaterial="clear"/>
                              </w:rPr>
                              <w:t>河堰镇中心小学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5pt;margin-top:10pt;height:65.1pt;width:432.55pt;mso-wrap-distance-bottom:0pt;mso-wrap-distance-left:9pt;mso-wrap-distance-right:9pt;mso-wrap-distance-top:0pt;z-index:251661312;mso-width-relative:page;mso-height-relative:page;" fillcolor="#FFFFFF [3212]" filled="t" stroked="t" coordsize="21600,21600" o:gfxdata="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92jb2QAAAAoBAAAPAAAAAAAAAAEAIAAAACIAAABkcnMvZG93bnJldi54bWxQSwEC&#10;FAAUAAAACACHTuJAu2u7sWUCAADdBAAADgAAAAAAAAABACAAAAAoAQAAZHJzL2Uyb0RvYy54bWxQ&#10;SwUGAAAAAAYABgBZAQAA/wUAAAAA&#10;">
                <v:fill on="t" focussize="0,0"/>
                <v:stroke weight="1pt" color="#FFFFFF [3212]" joinstyle="round"/>
                <v:imagedata o:title=""/>
                <o:lock v:ext="edit" aspectratio="f"/>
                <v:textbox>
                  <w:txbxContent>
                    <w:p>
                      <w:pPr>
                        <w:jc w:val="distribute"/>
                        <w:rPr>
                          <w:rFonts w:eastAsia="方正小标宋简体"/>
                          <w:b/>
                          <w:bCs/>
                          <w:outline/>
                          <w:color w:val="FFFFFF"/>
                          <w:w w:val="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eastAsia="方正小标宋简体"/>
                          <w:b/>
                          <w:bCs/>
                          <w:color w:val="FF0000"/>
                          <w:w w:val="80"/>
                          <w:sz w:val="72"/>
                          <w:szCs w:val="72"/>
                          <w14:shadow w14:blurRad="38100" w14:dist="19050" w14:dir="2700000" w14:sx="100000" w14:sy="100000" w14:kx="0" w14:ky="0" w14:algn="tl">
                            <w14:schemeClr w14:val="dk1">
                              <w14:alpha w14:val="60000"/>
                            </w14:schemeClr>
                          </w14:shadow>
                          <w14:props3d w14:extrusionH="0" w14:contourW="0" w14:prstMaterial="clear"/>
                        </w:rPr>
                        <w:t>重庆市开州区</w:t>
                      </w:r>
                      <w:r>
                        <w:rPr>
                          <w:rFonts w:hint="eastAsia" w:eastAsia="方正小标宋简体"/>
                          <w:b/>
                          <w:bCs/>
                          <w:color w:val="FF0000"/>
                          <w:w w:val="80"/>
                          <w:sz w:val="72"/>
                          <w:szCs w:val="72"/>
                          <w14:shadow w14:blurRad="38100" w14:dist="19050" w14:dir="2700000" w14:sx="100000" w14:sy="100000" w14:kx="0" w14:ky="0" w14:algn="tl">
                            <w14:schemeClr w14:val="dk1">
                              <w14:alpha w14:val="60000"/>
                            </w14:schemeClr>
                          </w14:shadow>
                          <w14:props3d w14:extrusionH="0" w14:contourW="0" w14:prstMaterial="clear"/>
                        </w:rPr>
                        <w:t>河堰镇中心小学</w:t>
                      </w:r>
                    </w:p>
                  </w:txbxContent>
                </v:textbox>
                <w10:wrap type="square"/>
              </v:shape>
            </w:pict>
          </mc:Fallback>
        </mc:AlternateContent>
      </w: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河小</w:t>
      </w:r>
      <w:r>
        <w:rPr>
          <w:rFonts w:eastAsia="方正仿宋_GBK"/>
          <w:color w:val="000000"/>
          <w:sz w:val="32"/>
          <w:szCs w:val="32"/>
        </w:rPr>
        <w:t>〔2024〕</w:t>
      </w:r>
      <w:r>
        <w:rPr>
          <w:rFonts w:hint="eastAsia" w:eastAsia="方正仿宋_GBK"/>
          <w:color w:val="000000"/>
          <w:sz w:val="32"/>
          <w:szCs w:val="32"/>
        </w:rPr>
        <w:t>00</w:t>
      </w:r>
      <w:r>
        <w:rPr>
          <w:rFonts w:hint="eastAsia" w:eastAsia="方正仿宋_GBK"/>
          <w:sz w:val="32"/>
          <w:szCs w:val="32"/>
        </w:rPr>
        <w:t>2</w:t>
      </w:r>
      <w:r>
        <w:rPr>
          <w:rFonts w:eastAsia="方正仿宋_GBK"/>
          <w:sz w:val="32"/>
        </w:rPr>
        <w:t>号             签发人：</w:t>
      </w:r>
      <w:r>
        <w:rPr>
          <w:rFonts w:hint="eastAsia" w:eastAsia="方正楷体_GBK"/>
          <w:sz w:val="32"/>
        </w:rPr>
        <w:t>李新</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河堰镇中心小学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重庆市开州区河堰镇中心小学</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重庆市开州区河堰镇中心小学收支预算总表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重庆市开州区河堰镇中心小学</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重庆市开州区河堰镇中心小学本年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重庆市开州区河堰镇中心小学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重庆市开州区河堰镇中心小学本年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重庆市开州区河堰镇中心小学</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重庆市开州区河堰镇中心小学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sectPr>
          <w:footerReference r:id="rId4" w:type="default"/>
          <w:footerReference r:id="rId5" w:type="even"/>
          <w:pgSz w:w="11906" w:h="16838"/>
          <w:pgMar w:top="1440" w:right="1800" w:bottom="1440" w:left="1800" w:header="851" w:footer="992" w:gutter="0"/>
          <w:pgNumType w:start="2"/>
          <w:cols w:space="425" w:num="1"/>
          <w:docGrid w:type="lines" w:linePitch="312" w:charSpace="0"/>
        </w:sectPr>
      </w:pP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重庆市开州区河堰镇中心小学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重庆市开州区河堰镇中心小学</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重庆市开州区河堰镇中心小学</w:t>
      </w:r>
      <w:r>
        <w:rPr>
          <w:rFonts w:eastAsia="方正仿宋_GBK"/>
          <w:sz w:val="32"/>
          <w:szCs w:val="32"/>
        </w:rPr>
        <w:t>项目支出表</w:t>
      </w:r>
    </w:p>
    <w:p>
      <w:pPr>
        <w:spacing w:line="600" w:lineRule="exact"/>
        <w:jc w:val="center"/>
        <w:rPr>
          <w:rFonts w:eastAsia="方正小标宋_GBK"/>
          <w:sz w:val="44"/>
          <w:szCs w:val="44"/>
        </w:rPr>
        <w:sectPr>
          <w:footerReference r:id="rId6" w:type="default"/>
          <w:footerReference r:id="rId7" w:type="even"/>
          <w:pgSz w:w="11906" w:h="16838"/>
          <w:pgMar w:top="1440" w:right="1800" w:bottom="1440" w:left="1800" w:header="851" w:footer="992" w:gutter="0"/>
          <w:pgNumType w:start="3"/>
          <w:cols w:space="425" w:num="1"/>
          <w:docGrid w:type="lines" w:linePitch="312" w:charSpace="0"/>
        </w:sectPr>
      </w:pPr>
    </w:p>
    <w:p>
      <w:pPr>
        <w:spacing w:line="600" w:lineRule="exact"/>
        <w:jc w:val="center"/>
        <w:rPr>
          <w:rFonts w:eastAsia="方正小标宋_GBK"/>
          <w:sz w:val="44"/>
          <w:szCs w:val="44"/>
        </w:rPr>
      </w:pP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574" w:lineRule="exact"/>
        <w:ind w:firstLine="640" w:firstLineChars="200"/>
        <w:rPr>
          <w:rFonts w:eastAsia="方正仿宋_GBK"/>
          <w:sz w:val="32"/>
          <w:szCs w:val="32"/>
        </w:rPr>
      </w:pPr>
      <w:r>
        <w:rPr>
          <w:rFonts w:eastAsia="方正仿宋_GBK"/>
          <w:sz w:val="32"/>
          <w:szCs w:val="32"/>
        </w:rPr>
        <w:t>1.组织实施教育教学活动，维护学校的教学秩序。</w:t>
      </w:r>
    </w:p>
    <w:p>
      <w:pPr>
        <w:spacing w:line="574" w:lineRule="exact"/>
        <w:ind w:firstLine="640" w:firstLineChars="200"/>
        <w:rPr>
          <w:rFonts w:eastAsia="方正仿宋_GBK"/>
          <w:sz w:val="32"/>
          <w:szCs w:val="32"/>
        </w:rPr>
      </w:pPr>
      <w:r>
        <w:rPr>
          <w:rFonts w:eastAsia="方正仿宋_GBK"/>
          <w:sz w:val="32"/>
          <w:szCs w:val="32"/>
        </w:rPr>
        <w:t>2.对受教育者进行学籍管理，实施奖励或者处分，颁发相应的学业证书。</w:t>
      </w:r>
    </w:p>
    <w:p>
      <w:pPr>
        <w:spacing w:line="574" w:lineRule="exact"/>
        <w:ind w:firstLine="640" w:firstLineChars="200"/>
        <w:rPr>
          <w:rFonts w:eastAsia="方正仿宋_GBK"/>
          <w:sz w:val="32"/>
          <w:szCs w:val="32"/>
        </w:rPr>
      </w:pPr>
      <w:r>
        <w:rPr>
          <w:rFonts w:eastAsia="方正仿宋_GBK"/>
          <w:sz w:val="32"/>
          <w:szCs w:val="32"/>
        </w:rPr>
        <w:t>3.聘任教职工，实施奖励或者处分。</w:t>
      </w:r>
    </w:p>
    <w:p>
      <w:pPr>
        <w:spacing w:line="574" w:lineRule="exact"/>
        <w:ind w:firstLine="640" w:firstLineChars="200"/>
        <w:rPr>
          <w:rFonts w:eastAsia="方正仿宋_GBK"/>
          <w:sz w:val="32"/>
          <w:szCs w:val="32"/>
        </w:rPr>
      </w:pPr>
      <w:r>
        <w:rPr>
          <w:rFonts w:eastAsia="方正仿宋_GBK"/>
          <w:sz w:val="32"/>
          <w:szCs w:val="32"/>
        </w:rPr>
        <w:t>4.维护受教育者、教师及其他职工的合法权益。</w:t>
      </w:r>
    </w:p>
    <w:p>
      <w:pPr>
        <w:spacing w:line="574" w:lineRule="exact"/>
        <w:ind w:firstLine="640" w:firstLineChars="200"/>
        <w:rPr>
          <w:rFonts w:eastAsia="方正仿宋_GBK"/>
          <w:sz w:val="32"/>
          <w:szCs w:val="32"/>
        </w:rPr>
      </w:pPr>
      <w:r>
        <w:rPr>
          <w:rFonts w:eastAsia="方正仿宋_GBK"/>
          <w:sz w:val="32"/>
          <w:szCs w:val="32"/>
        </w:rPr>
        <w:t>5.根据学校规模，设置学校管理机构，建立健全各项规章制度和岗位责任制</w:t>
      </w:r>
      <w:r>
        <w:rPr>
          <w:rFonts w:hint="eastAsia" w:eastAsia="方正仿宋_GBK"/>
          <w:sz w:val="32"/>
          <w:szCs w:val="32"/>
        </w:rPr>
        <w:t>。</w:t>
      </w:r>
    </w:p>
    <w:p>
      <w:pPr>
        <w:spacing w:line="574" w:lineRule="exact"/>
        <w:ind w:firstLine="640" w:firstLineChars="200"/>
        <w:rPr>
          <w:rFonts w:eastAsia="方正仿宋_GBK"/>
          <w:sz w:val="32"/>
        </w:rPr>
      </w:pPr>
      <w:r>
        <w:rPr>
          <w:rFonts w:eastAsia="方正仿宋_GBK"/>
          <w:sz w:val="32"/>
          <w:szCs w:val="32"/>
        </w:rPr>
        <w:t>6.做好学校安全稳定工作和后勤保障服务工作。</w:t>
      </w:r>
    </w:p>
    <w:p>
      <w:pPr>
        <w:pStyle w:val="8"/>
        <w:tabs>
          <w:tab w:val="center" w:pos="4153"/>
          <w:tab w:val="left" w:pos="7275"/>
        </w:tabs>
        <w:overflowPunct w:val="0"/>
        <w:spacing w:line="600" w:lineRule="exact"/>
        <w:ind w:left="640" w:firstLine="0" w:firstLineChars="0"/>
        <w:rPr>
          <w:rFonts w:ascii="方正楷体_GBK" w:hAnsi="Times New Roman" w:eastAsia="方正楷体_GBK"/>
          <w:sz w:val="32"/>
        </w:rPr>
      </w:pPr>
      <w:r>
        <w:rPr>
          <w:rFonts w:hint="eastAsia" w:ascii="方正楷体_GBK" w:hAnsi="Times New Roman" w:eastAsia="方正楷体_GBK"/>
          <w:sz w:val="32"/>
        </w:rPr>
        <w:t>（二）单位构成</w:t>
      </w:r>
    </w:p>
    <w:p>
      <w:pPr>
        <w:overflowPunct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本单位内设</w:t>
      </w:r>
      <w:r>
        <w:rPr>
          <w:rFonts w:hint="eastAsia" w:eastAsia="方正仿宋_GBK"/>
          <w:sz w:val="32"/>
          <w:szCs w:val="32"/>
        </w:rPr>
        <w:t>3</w:t>
      </w:r>
      <w:r>
        <w:rPr>
          <w:rFonts w:hint="eastAsia" w:ascii="方正仿宋_GBK" w:hAnsi="方正仿宋_GBK" w:eastAsia="方正仿宋_GBK" w:cs="方正仿宋_GBK"/>
          <w:sz w:val="32"/>
          <w:szCs w:val="32"/>
          <w:shd w:val="clear" w:color="auto" w:fill="FFFFFF"/>
        </w:rPr>
        <w:t>个机构处室，分别是教导处、安稳办、总务处。</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（一）收入预算：</w:t>
      </w:r>
      <w:r>
        <w:rPr>
          <w:rFonts w:hint="eastAsia" w:eastAsia="方正仿宋_GBK"/>
          <w:sz w:val="32"/>
          <w:szCs w:val="32"/>
        </w:rPr>
        <w:t>2024</w:t>
      </w:r>
      <w:r>
        <w:rPr>
          <w:rFonts w:hint="eastAsia" w:ascii="方正仿宋_GBK" w:hAnsi="方正仿宋_GBK" w:eastAsia="方正仿宋_GBK" w:cs="方正仿宋_GBK"/>
          <w:sz w:val="32"/>
          <w:szCs w:val="32"/>
          <w:shd w:val="clear" w:color="auto" w:fill="FFFFFF"/>
        </w:rPr>
        <w:t>年年初预算数</w:t>
      </w:r>
      <w:r>
        <w:rPr>
          <w:rFonts w:hint="eastAsia" w:eastAsia="方正仿宋_GBK"/>
          <w:sz w:val="32"/>
          <w:szCs w:val="32"/>
        </w:rPr>
        <w:t>1759.74</w:t>
      </w:r>
      <w:r>
        <w:rPr>
          <w:rFonts w:hint="eastAsia" w:ascii="方正仿宋_GBK" w:hAnsi="方正仿宋_GBK" w:eastAsia="方正仿宋_GBK" w:cs="方正仿宋_GBK"/>
          <w:sz w:val="32"/>
          <w:szCs w:val="32"/>
          <w:shd w:val="clear" w:color="auto" w:fill="FFFFFF"/>
        </w:rPr>
        <w:t>万元（含上年结转</w:t>
      </w:r>
      <w:r>
        <w:rPr>
          <w:rFonts w:eastAsia="方正仿宋_GBK"/>
          <w:sz w:val="32"/>
          <w:szCs w:val="32"/>
          <w:shd w:val="clear" w:color="auto" w:fill="FFFFFF"/>
        </w:rPr>
        <w:t>56.63</w:t>
      </w:r>
      <w:r>
        <w:rPr>
          <w:rFonts w:hint="eastAsia" w:ascii="方正仿宋_GBK" w:hAnsi="方正仿宋_GBK" w:eastAsia="方正仿宋_GBK" w:cs="方正仿宋_GBK"/>
          <w:sz w:val="32"/>
          <w:szCs w:val="32"/>
          <w:shd w:val="clear" w:color="auto" w:fill="FFFFFF"/>
        </w:rPr>
        <w:t>万元），其中：一般公共预算拨款</w:t>
      </w:r>
      <w:r>
        <w:rPr>
          <w:rFonts w:hint="eastAsia" w:eastAsia="方正仿宋_GBK"/>
          <w:sz w:val="32"/>
          <w:szCs w:val="32"/>
        </w:rPr>
        <w:t>1759.74</w:t>
      </w:r>
      <w:r>
        <w:rPr>
          <w:rFonts w:hint="eastAsia" w:ascii="方正仿宋_GBK" w:hAnsi="方正仿宋_GBK" w:eastAsia="方正仿宋_GBK" w:cs="方正仿宋_GBK"/>
          <w:sz w:val="32"/>
          <w:szCs w:val="32"/>
          <w:shd w:val="clear" w:color="auto" w:fill="FFFFFF"/>
        </w:rPr>
        <w:t>万元(含上年结转</w:t>
      </w:r>
      <w:r>
        <w:rPr>
          <w:rFonts w:eastAsia="方正仿宋_GBK"/>
          <w:sz w:val="32"/>
          <w:szCs w:val="32"/>
          <w:shd w:val="clear" w:color="auto" w:fill="FFFFFF"/>
        </w:rPr>
        <w:t>56.63</w:t>
      </w:r>
      <w:r>
        <w:rPr>
          <w:rFonts w:hint="eastAsia" w:ascii="方正仿宋_GBK" w:hAnsi="方正仿宋_GBK" w:eastAsia="方正仿宋_GBK" w:cs="方正仿宋_GBK"/>
          <w:sz w:val="32"/>
          <w:szCs w:val="32"/>
          <w:shd w:val="clear" w:color="auto" w:fill="FFFFFF"/>
        </w:rPr>
        <w:t>万元)，政府性基金预算拨款</w:t>
      </w:r>
      <w:r>
        <w:rPr>
          <w:rFonts w:hint="eastAsia" w:eastAsia="方正仿宋_GBK"/>
          <w:sz w:val="32"/>
          <w:szCs w:val="32"/>
        </w:rPr>
        <w:t>0</w:t>
      </w:r>
      <w:r>
        <w:rPr>
          <w:rFonts w:hint="eastAsia" w:ascii="方正仿宋_GBK" w:hAnsi="方正仿宋_GBK" w:eastAsia="方正仿宋_GBK" w:cs="方正仿宋_GBK"/>
          <w:sz w:val="32"/>
          <w:szCs w:val="32"/>
          <w:shd w:val="clear" w:color="auto" w:fill="FFFFFF"/>
        </w:rPr>
        <w:t>万元(含上年结转</w:t>
      </w:r>
      <w:r>
        <w:rPr>
          <w:rFonts w:hint="eastAsia" w:eastAsia="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万元)，国有资本经营预算收入</w:t>
      </w:r>
      <w:r>
        <w:rPr>
          <w:rFonts w:hint="eastAsia" w:eastAsia="方正仿宋_GBK"/>
          <w:sz w:val="32"/>
          <w:szCs w:val="32"/>
        </w:rPr>
        <w:t>0</w:t>
      </w:r>
      <w:r>
        <w:rPr>
          <w:rFonts w:hint="eastAsia" w:ascii="方正仿宋_GBK" w:hAnsi="方正仿宋_GBK" w:eastAsia="方正仿宋_GBK" w:cs="方正仿宋_GBK"/>
          <w:sz w:val="32"/>
          <w:szCs w:val="32"/>
          <w:shd w:val="clear" w:color="auto" w:fill="FFFFFF"/>
        </w:rPr>
        <w:t>万元，财政专户管理资金收入</w:t>
      </w:r>
      <w:r>
        <w:rPr>
          <w:rFonts w:eastAsia="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万元，事业收入</w:t>
      </w:r>
      <w:r>
        <w:rPr>
          <w:rFonts w:hint="eastAsia" w:eastAsia="方正仿宋_GBK"/>
          <w:sz w:val="32"/>
          <w:szCs w:val="32"/>
        </w:rPr>
        <w:t>0</w:t>
      </w:r>
      <w:r>
        <w:rPr>
          <w:rFonts w:hint="eastAsia" w:ascii="方正仿宋_GBK" w:hAnsi="方正仿宋_GBK" w:eastAsia="方正仿宋_GBK" w:cs="方正仿宋_GBK"/>
          <w:sz w:val="32"/>
          <w:szCs w:val="32"/>
          <w:shd w:val="clear" w:color="auto" w:fill="FFFFFF"/>
        </w:rPr>
        <w:t>万元，事业单位经营收入</w:t>
      </w:r>
      <w:r>
        <w:rPr>
          <w:rFonts w:hint="eastAsia" w:eastAsia="方正仿宋_GBK"/>
          <w:sz w:val="32"/>
          <w:szCs w:val="32"/>
        </w:rPr>
        <w:t>0</w:t>
      </w:r>
      <w:r>
        <w:rPr>
          <w:rFonts w:hint="eastAsia" w:ascii="方正仿宋_GBK" w:hAnsi="方正仿宋_GBK" w:eastAsia="方正仿宋_GBK" w:cs="方正仿宋_GBK"/>
          <w:sz w:val="32"/>
          <w:szCs w:val="32"/>
          <w:shd w:val="clear" w:color="auto" w:fill="FFFFFF"/>
        </w:rPr>
        <w:t>万元，其他收入</w:t>
      </w:r>
      <w:r>
        <w:rPr>
          <w:rFonts w:hint="eastAsia" w:eastAsia="方正仿宋_GBK"/>
          <w:sz w:val="32"/>
          <w:szCs w:val="32"/>
        </w:rPr>
        <w:t>0</w:t>
      </w:r>
      <w:r>
        <w:rPr>
          <w:rFonts w:hint="eastAsia" w:ascii="方正仿宋_GBK" w:hAnsi="方正仿宋_GBK" w:eastAsia="方正仿宋_GBK" w:cs="方正仿宋_GBK"/>
          <w:sz w:val="32"/>
          <w:szCs w:val="32"/>
          <w:shd w:val="clear" w:color="auto" w:fill="FFFFFF"/>
        </w:rPr>
        <w:t>万元。收入较</w:t>
      </w:r>
      <w:r>
        <w:rPr>
          <w:rFonts w:hint="eastAsia" w:eastAsia="方正仿宋_GBK"/>
          <w:sz w:val="32"/>
          <w:szCs w:val="32"/>
        </w:rPr>
        <w:t>2023</w:t>
      </w:r>
      <w:r>
        <w:rPr>
          <w:rFonts w:hint="eastAsia" w:ascii="方正仿宋_GBK" w:hAnsi="方正仿宋_GBK" w:eastAsia="方正仿宋_GBK" w:cs="方正仿宋_GBK"/>
          <w:sz w:val="32"/>
          <w:szCs w:val="32"/>
          <w:shd w:val="clear" w:color="auto" w:fill="FFFFFF"/>
        </w:rPr>
        <w:t>年增加</w:t>
      </w:r>
      <w:r>
        <w:rPr>
          <w:rFonts w:hint="eastAsia" w:eastAsia="方正仿宋_GBK"/>
          <w:sz w:val="32"/>
          <w:szCs w:val="32"/>
        </w:rPr>
        <w:t>44.19</w:t>
      </w:r>
      <w:r>
        <w:rPr>
          <w:rFonts w:hint="eastAsia" w:ascii="方正仿宋_GBK" w:hAnsi="方正仿宋_GBK" w:eastAsia="方正仿宋_GBK" w:cs="方正仿宋_GBK"/>
          <w:sz w:val="32"/>
          <w:szCs w:val="32"/>
          <w:shd w:val="clear" w:color="auto" w:fill="FFFFFF"/>
        </w:rPr>
        <w:t>万元，主要是一般公共预算拨款增加</w:t>
      </w:r>
      <w:r>
        <w:rPr>
          <w:rFonts w:hint="eastAsia" w:eastAsia="方正仿宋_GBK"/>
          <w:sz w:val="32"/>
          <w:szCs w:val="32"/>
        </w:rPr>
        <w:t>44.19</w:t>
      </w:r>
      <w:r>
        <w:rPr>
          <w:rFonts w:hint="eastAsia" w:ascii="方正仿宋_GBK" w:hAnsi="方正仿宋_GBK" w:eastAsia="方正仿宋_GBK" w:cs="方正仿宋_GBK"/>
          <w:sz w:val="32"/>
          <w:szCs w:val="32"/>
          <w:shd w:val="clear" w:color="auto" w:fill="FFFFFF"/>
        </w:rPr>
        <w:t>万元。</w:t>
      </w:r>
    </w:p>
    <w:p>
      <w:pPr>
        <w:overflowPunct w:val="0"/>
        <w:spacing w:line="600" w:lineRule="exact"/>
        <w:ind w:firstLine="640" w:firstLineChars="200"/>
        <w:rPr>
          <w:rFonts w:ascii="方正仿宋_GBK" w:hAnsi="方正仿宋_GBK" w:eastAsia="方正仿宋_GBK" w:cs="方正仿宋_GBK"/>
          <w:sz w:val="32"/>
          <w:szCs w:val="32"/>
          <w:shd w:val="clear" w:color="auto" w:fill="FFFFFF"/>
        </w:rPr>
        <w:sectPr>
          <w:footerReference r:id="rId8" w:type="default"/>
          <w:pgSz w:w="11906" w:h="16838"/>
          <w:pgMar w:top="1440" w:right="1800" w:bottom="1440" w:left="1800" w:header="851" w:footer="992" w:gutter="0"/>
          <w:pgNumType w:start="4"/>
          <w:cols w:space="425" w:num="1"/>
          <w:docGrid w:type="lines" w:linePitch="312" w:charSpace="0"/>
        </w:sectPr>
      </w:pPr>
    </w:p>
    <w:p>
      <w:pPr>
        <w:overflowPunct w:val="0"/>
        <w:spacing w:line="600" w:lineRule="exact"/>
        <w:ind w:firstLine="640" w:firstLineChars="200"/>
        <w:rPr>
          <w:rFonts w:eastAsia="方正仿宋_GBK"/>
          <w:sz w:val="32"/>
        </w:rPr>
      </w:pPr>
      <w:r>
        <w:rPr>
          <w:rFonts w:hint="eastAsia" w:ascii="方正仿宋_GBK" w:hAnsi="方正仿宋_GBK" w:eastAsia="方正仿宋_GBK" w:cs="方正仿宋_GBK"/>
          <w:sz w:val="32"/>
          <w:szCs w:val="32"/>
          <w:shd w:val="clear" w:color="auto" w:fill="FFFFFF"/>
        </w:rPr>
        <w:t>（二）支出预算：</w:t>
      </w:r>
      <w:r>
        <w:rPr>
          <w:rFonts w:hint="eastAsia" w:eastAsia="方正仿宋_GBK"/>
          <w:sz w:val="32"/>
          <w:szCs w:val="32"/>
        </w:rPr>
        <w:t>2024</w:t>
      </w:r>
      <w:r>
        <w:rPr>
          <w:rFonts w:hint="eastAsia" w:ascii="方正仿宋_GBK" w:hAnsi="方正仿宋_GBK" w:eastAsia="方正仿宋_GBK" w:cs="方正仿宋_GBK"/>
          <w:sz w:val="32"/>
          <w:szCs w:val="32"/>
          <w:shd w:val="clear" w:color="auto" w:fill="FFFFFF"/>
        </w:rPr>
        <w:t>年年初预算数</w:t>
      </w:r>
      <w:r>
        <w:rPr>
          <w:rFonts w:hint="eastAsia" w:eastAsia="方正仿宋_GBK"/>
          <w:sz w:val="32"/>
          <w:szCs w:val="32"/>
        </w:rPr>
        <w:t>1759.74</w:t>
      </w:r>
      <w:r>
        <w:rPr>
          <w:rFonts w:hint="eastAsia" w:ascii="方正仿宋_GBK" w:hAnsi="方正仿宋_GBK" w:eastAsia="方正仿宋_GBK" w:cs="方正仿宋_GBK"/>
          <w:sz w:val="32"/>
          <w:szCs w:val="32"/>
          <w:shd w:val="clear" w:color="auto" w:fill="FFFFFF"/>
        </w:rPr>
        <w:t>万元，其中：教育支出预算</w:t>
      </w:r>
      <w:r>
        <w:rPr>
          <w:rFonts w:hint="eastAsia" w:eastAsia="方正仿宋_GBK"/>
          <w:sz w:val="32"/>
          <w:szCs w:val="32"/>
        </w:rPr>
        <w:t>1343.09</w:t>
      </w:r>
      <w:r>
        <w:rPr>
          <w:rFonts w:hint="eastAsia" w:ascii="方正仿宋_GBK" w:hAnsi="方正仿宋_GBK" w:eastAsia="方正仿宋_GBK" w:cs="方正仿宋_GBK"/>
          <w:sz w:val="32"/>
          <w:szCs w:val="32"/>
          <w:shd w:val="clear" w:color="auto" w:fill="FFFFFF"/>
        </w:rPr>
        <w:t>万元，社会保障和就业支出预算</w:t>
      </w:r>
      <w:r>
        <w:rPr>
          <w:rFonts w:hint="eastAsia" w:eastAsia="方正仿宋_GBK"/>
          <w:sz w:val="32"/>
          <w:szCs w:val="32"/>
        </w:rPr>
        <w:t>263.63</w:t>
      </w:r>
      <w:r>
        <w:rPr>
          <w:rFonts w:hint="eastAsia" w:ascii="方正仿宋_GBK" w:hAnsi="方正仿宋_GBK" w:eastAsia="方正仿宋_GBK" w:cs="方正仿宋_GBK"/>
          <w:sz w:val="32"/>
          <w:szCs w:val="32"/>
          <w:shd w:val="clear" w:color="auto" w:fill="FFFFFF"/>
        </w:rPr>
        <w:t>万元，卫生健康支出预算</w:t>
      </w:r>
      <w:r>
        <w:rPr>
          <w:rFonts w:hint="eastAsia" w:eastAsia="方正仿宋_GBK"/>
          <w:sz w:val="32"/>
          <w:szCs w:val="32"/>
        </w:rPr>
        <w:t>81.79</w:t>
      </w:r>
      <w:r>
        <w:rPr>
          <w:rFonts w:hint="eastAsia" w:ascii="方正仿宋_GBK" w:hAnsi="方正仿宋_GBK" w:eastAsia="方正仿宋_GBK" w:cs="方正仿宋_GBK"/>
          <w:sz w:val="32"/>
          <w:szCs w:val="32"/>
          <w:shd w:val="clear" w:color="auto" w:fill="FFFFFF"/>
        </w:rPr>
        <w:t>万元，住房保障支出预算</w:t>
      </w:r>
      <w:r>
        <w:rPr>
          <w:rFonts w:hint="eastAsia" w:eastAsia="方正仿宋_GBK"/>
          <w:sz w:val="32"/>
          <w:szCs w:val="32"/>
        </w:rPr>
        <w:t>71.23</w:t>
      </w:r>
      <w:r>
        <w:rPr>
          <w:rFonts w:hint="eastAsia" w:ascii="方正仿宋_GBK" w:hAnsi="方正仿宋_GBK" w:eastAsia="方正仿宋_GBK" w:cs="方正仿宋_GBK"/>
          <w:sz w:val="32"/>
          <w:szCs w:val="32"/>
          <w:shd w:val="clear" w:color="auto" w:fill="FFFFFF"/>
        </w:rPr>
        <w:t>万元。支出预算较</w:t>
      </w:r>
      <w:r>
        <w:rPr>
          <w:rFonts w:hint="eastAsia" w:eastAsia="方正仿宋_GBK"/>
          <w:sz w:val="32"/>
          <w:szCs w:val="32"/>
        </w:rPr>
        <w:t>2023</w:t>
      </w:r>
      <w:r>
        <w:rPr>
          <w:rFonts w:hint="eastAsia" w:ascii="方正仿宋_GBK" w:hAnsi="方正仿宋_GBK" w:eastAsia="方正仿宋_GBK" w:cs="方正仿宋_GBK"/>
          <w:sz w:val="32"/>
          <w:szCs w:val="32"/>
          <w:shd w:val="clear" w:color="auto" w:fill="FFFFFF"/>
        </w:rPr>
        <w:t>年增加</w:t>
      </w:r>
      <w:r>
        <w:rPr>
          <w:rFonts w:hint="eastAsia" w:eastAsia="方正仿宋_GBK"/>
          <w:sz w:val="32"/>
          <w:szCs w:val="32"/>
        </w:rPr>
        <w:t>44.19</w:t>
      </w:r>
      <w:r>
        <w:rPr>
          <w:rFonts w:hint="eastAsia" w:ascii="方正仿宋_GBK" w:hAnsi="方正仿宋_GBK" w:eastAsia="方正仿宋_GBK" w:cs="方正仿宋_GBK"/>
          <w:sz w:val="32"/>
          <w:szCs w:val="32"/>
          <w:shd w:val="clear" w:color="auto" w:fill="FFFFFF"/>
        </w:rPr>
        <w:t>万元，主要是基本支出预算增加</w:t>
      </w:r>
      <w:r>
        <w:rPr>
          <w:rFonts w:hint="eastAsia" w:eastAsia="方正仿宋_GBK"/>
          <w:sz w:val="32"/>
          <w:szCs w:val="32"/>
        </w:rPr>
        <w:t>23.47</w:t>
      </w:r>
      <w:r>
        <w:rPr>
          <w:rFonts w:hint="eastAsia" w:ascii="方正仿宋_GBK" w:hAnsi="方正仿宋_GBK" w:eastAsia="方正仿宋_GBK" w:cs="方正仿宋_GBK"/>
          <w:sz w:val="32"/>
          <w:szCs w:val="32"/>
          <w:shd w:val="clear" w:color="auto" w:fill="FFFFFF"/>
        </w:rPr>
        <w:t>万元，项目支出预算增加</w:t>
      </w:r>
      <w:r>
        <w:rPr>
          <w:rFonts w:hint="eastAsia" w:eastAsia="方正仿宋_GBK"/>
          <w:sz w:val="32"/>
          <w:szCs w:val="32"/>
        </w:rPr>
        <w:t>20.72</w:t>
      </w:r>
      <w:r>
        <w:rPr>
          <w:rFonts w:hint="eastAsia" w:ascii="方正仿宋_GBK" w:hAnsi="方正仿宋_GBK" w:eastAsia="方正仿宋_GBK" w:cs="方正仿宋_GBK"/>
          <w:sz w:val="32"/>
          <w:szCs w:val="32"/>
          <w:shd w:val="clear" w:color="auto" w:fill="FFFFFF"/>
        </w:rPr>
        <w:t>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eastAsia="方正仿宋_GBK"/>
          <w:sz w:val="32"/>
          <w:szCs w:val="32"/>
        </w:rPr>
        <w:t>2024</w:t>
      </w:r>
      <w:r>
        <w:rPr>
          <w:rFonts w:hint="eastAsia" w:ascii="方正仿宋_GBK" w:hAnsi="方正仿宋_GBK" w:eastAsia="方正仿宋_GBK" w:cs="方正仿宋_GBK"/>
          <w:sz w:val="32"/>
          <w:szCs w:val="32"/>
          <w:shd w:val="clear" w:color="auto" w:fill="FFFFFF"/>
        </w:rPr>
        <w:t>年一般公共预算财政拨款收入</w:t>
      </w:r>
      <w:r>
        <w:rPr>
          <w:rFonts w:hint="eastAsia" w:eastAsia="方正仿宋_GBK"/>
          <w:sz w:val="32"/>
          <w:szCs w:val="32"/>
        </w:rPr>
        <w:t>1759.74</w:t>
      </w:r>
      <w:r>
        <w:rPr>
          <w:rFonts w:hint="eastAsia" w:ascii="方正仿宋_GBK" w:hAnsi="方正仿宋_GBK" w:eastAsia="方正仿宋_GBK" w:cs="方正仿宋_GBK"/>
          <w:sz w:val="32"/>
          <w:szCs w:val="32"/>
          <w:shd w:val="clear" w:color="auto" w:fill="FFFFFF"/>
        </w:rPr>
        <w:t>万元，（含上年结转</w:t>
      </w:r>
      <w:r>
        <w:rPr>
          <w:rFonts w:hint="eastAsia" w:eastAsia="方正仿宋_GBK"/>
          <w:sz w:val="32"/>
          <w:szCs w:val="32"/>
        </w:rPr>
        <w:t>56.63</w:t>
      </w:r>
      <w:r>
        <w:rPr>
          <w:rFonts w:hint="eastAsia" w:ascii="方正仿宋_GBK" w:hAnsi="方正仿宋_GBK" w:eastAsia="方正仿宋_GBK" w:cs="方正仿宋_GBK"/>
          <w:sz w:val="32"/>
          <w:szCs w:val="32"/>
          <w:shd w:val="clear" w:color="auto" w:fill="FFFFFF"/>
        </w:rPr>
        <w:t>万元），一般公共预算财政拨款支出</w:t>
      </w:r>
      <w:r>
        <w:rPr>
          <w:rFonts w:hint="eastAsia" w:eastAsia="方正仿宋_GBK"/>
          <w:sz w:val="32"/>
          <w:szCs w:val="32"/>
        </w:rPr>
        <w:t>1759.74</w:t>
      </w:r>
      <w:r>
        <w:rPr>
          <w:rFonts w:hint="eastAsia" w:ascii="方正仿宋_GBK" w:hAnsi="方正仿宋_GBK" w:eastAsia="方正仿宋_GBK" w:cs="方正仿宋_GBK"/>
          <w:sz w:val="32"/>
          <w:szCs w:val="32"/>
          <w:shd w:val="clear" w:color="auto" w:fill="FFFFFF"/>
        </w:rPr>
        <w:t>万元，比</w:t>
      </w:r>
      <w:r>
        <w:rPr>
          <w:rFonts w:hint="eastAsia" w:eastAsia="方正仿宋_GBK"/>
          <w:sz w:val="32"/>
          <w:szCs w:val="32"/>
        </w:rPr>
        <w:t>2023</w:t>
      </w:r>
      <w:r>
        <w:rPr>
          <w:rFonts w:hint="eastAsia" w:ascii="方正仿宋_GBK" w:hAnsi="方正仿宋_GBK" w:eastAsia="方正仿宋_GBK" w:cs="方正仿宋_GBK"/>
          <w:sz w:val="32"/>
          <w:szCs w:val="32"/>
          <w:shd w:val="clear" w:color="auto" w:fill="FFFFFF"/>
        </w:rPr>
        <w:t>年增加</w:t>
      </w:r>
      <w:r>
        <w:rPr>
          <w:rFonts w:hint="eastAsia" w:eastAsia="方正仿宋_GBK"/>
          <w:sz w:val="32"/>
          <w:szCs w:val="32"/>
        </w:rPr>
        <w:t>44.19</w:t>
      </w:r>
      <w:r>
        <w:rPr>
          <w:rFonts w:hint="eastAsia" w:ascii="方正仿宋_GBK" w:hAnsi="方正仿宋_GBK" w:eastAsia="方正仿宋_GBK" w:cs="方正仿宋_GBK"/>
          <w:sz w:val="32"/>
          <w:szCs w:val="32"/>
          <w:shd w:val="clear" w:color="auto" w:fill="FFFFFF"/>
        </w:rPr>
        <w:t>万元。其中：基本支出</w:t>
      </w:r>
      <w:r>
        <w:rPr>
          <w:rFonts w:hint="eastAsia" w:eastAsia="方正仿宋_GBK"/>
          <w:sz w:val="32"/>
          <w:szCs w:val="32"/>
        </w:rPr>
        <w:t>1524.38</w:t>
      </w:r>
      <w:r>
        <w:rPr>
          <w:rFonts w:hint="eastAsia" w:ascii="方正仿宋_GBK" w:hAnsi="方正仿宋_GBK" w:eastAsia="方正仿宋_GBK" w:cs="方正仿宋_GBK"/>
          <w:sz w:val="32"/>
          <w:szCs w:val="32"/>
          <w:shd w:val="clear" w:color="auto" w:fill="FFFFFF"/>
        </w:rPr>
        <w:t>万元，比</w:t>
      </w:r>
      <w:r>
        <w:rPr>
          <w:rFonts w:hint="eastAsia" w:eastAsia="方正仿宋_GBK"/>
          <w:sz w:val="32"/>
          <w:szCs w:val="32"/>
        </w:rPr>
        <w:t>2023</w:t>
      </w:r>
      <w:r>
        <w:rPr>
          <w:rFonts w:hint="eastAsia" w:ascii="方正仿宋_GBK" w:hAnsi="方正仿宋_GBK" w:eastAsia="方正仿宋_GBK" w:cs="方正仿宋_GBK"/>
          <w:sz w:val="32"/>
          <w:szCs w:val="32"/>
          <w:shd w:val="clear" w:color="auto" w:fill="FFFFFF"/>
        </w:rPr>
        <w:t>年增加</w:t>
      </w:r>
      <w:r>
        <w:rPr>
          <w:rFonts w:hint="eastAsia" w:eastAsia="方正仿宋_GBK"/>
          <w:sz w:val="32"/>
          <w:szCs w:val="32"/>
        </w:rPr>
        <w:t>23.47</w:t>
      </w:r>
      <w:r>
        <w:rPr>
          <w:rFonts w:hint="eastAsia" w:ascii="方正仿宋_GBK" w:hAnsi="方正仿宋_GBK" w:eastAsia="方正仿宋_GBK" w:cs="方正仿宋_GBK"/>
          <w:sz w:val="32"/>
          <w:szCs w:val="32"/>
          <w:shd w:val="clear" w:color="auto" w:fill="FFFFFF"/>
        </w:rPr>
        <w:t>万元，主要原因是超额绩效调标,主要用于保障在职人员工资福利及社会保险缴费，退休人员补助等,保障正常运转的各项商品服务支出；项目支出</w:t>
      </w:r>
      <w:r>
        <w:rPr>
          <w:rFonts w:hint="eastAsia" w:eastAsia="方正仿宋_GBK"/>
          <w:sz w:val="32"/>
          <w:szCs w:val="32"/>
        </w:rPr>
        <w:t>235.36</w:t>
      </w:r>
      <w:r>
        <w:rPr>
          <w:rFonts w:hint="eastAsia" w:ascii="方正仿宋_GBK" w:hAnsi="方正仿宋_GBK" w:eastAsia="方正仿宋_GBK" w:cs="方正仿宋_GBK"/>
          <w:sz w:val="32"/>
          <w:szCs w:val="32"/>
          <w:shd w:val="clear" w:color="auto" w:fill="FFFFFF"/>
        </w:rPr>
        <w:t>万元，比</w:t>
      </w:r>
      <w:r>
        <w:rPr>
          <w:rFonts w:hint="eastAsia" w:eastAsia="方正仿宋_GBK"/>
          <w:sz w:val="32"/>
          <w:szCs w:val="32"/>
        </w:rPr>
        <w:t>2023</w:t>
      </w:r>
      <w:r>
        <w:rPr>
          <w:rFonts w:hint="eastAsia" w:ascii="方正仿宋_GBK" w:hAnsi="方正仿宋_GBK" w:eastAsia="方正仿宋_GBK" w:cs="方正仿宋_GBK"/>
          <w:sz w:val="32"/>
          <w:szCs w:val="32"/>
          <w:shd w:val="clear" w:color="auto" w:fill="FFFFFF"/>
        </w:rPr>
        <w:t>年增加</w:t>
      </w:r>
      <w:r>
        <w:rPr>
          <w:rFonts w:hint="eastAsia" w:eastAsia="方正仿宋_GBK"/>
          <w:sz w:val="32"/>
          <w:szCs w:val="32"/>
        </w:rPr>
        <w:t>20.72</w:t>
      </w:r>
      <w:r>
        <w:rPr>
          <w:rFonts w:hint="eastAsia" w:ascii="方正仿宋_GBK" w:hAnsi="方正仿宋_GBK" w:eastAsia="方正仿宋_GBK" w:cs="方正仿宋_GBK"/>
          <w:sz w:val="32"/>
          <w:szCs w:val="32"/>
          <w:shd w:val="clear" w:color="auto" w:fill="FFFFFF"/>
        </w:rPr>
        <w:t xml:space="preserve"> 万元，主要原因是本年度新增功能室改造及附属设施、马家食堂改造及附属设施两个项目等。主要用于学前及义教资助，农村学前和义务教育学生营养改善计划、扩大学前教育资源、义教保障机制、义务教育薄弱环节改善与能力提升等重点工作。</w:t>
      </w:r>
    </w:p>
    <w:p>
      <w:pPr>
        <w:spacing w:line="600" w:lineRule="exact"/>
        <w:ind w:firstLine="640" w:firstLineChars="200"/>
        <w:rPr>
          <w:rFonts w:ascii="方正仿宋_GBK" w:eastAsia="方正仿宋_GBK"/>
          <w:sz w:val="32"/>
          <w:szCs w:val="32"/>
        </w:rPr>
      </w:pPr>
      <w:r>
        <w:rPr>
          <w:rFonts w:hint="eastAsia" w:eastAsia="方正仿宋_GBK" w:cs="方正仿宋_GBK"/>
          <w:sz w:val="32"/>
          <w:szCs w:val="32"/>
        </w:rPr>
        <w:t>重庆市开州区河堰镇中心小学</w:t>
      </w:r>
      <w:r>
        <w:rPr>
          <w:rFonts w:eastAsia="方正仿宋_GBK"/>
          <w:sz w:val="32"/>
          <w:szCs w:val="32"/>
        </w:rPr>
        <w:t>202</w:t>
      </w:r>
      <w:r>
        <w:rPr>
          <w:rFonts w:hint="eastAsia" w:eastAsia="方正仿宋_GBK"/>
          <w:sz w:val="32"/>
          <w:szCs w:val="32"/>
        </w:rPr>
        <w:t>4</w:t>
      </w:r>
      <w:r>
        <w:rPr>
          <w:rFonts w:hint="eastAsia" w:eastAsia="方正仿宋_GBK" w:cs="方正仿宋_GBK"/>
          <w:sz w:val="32"/>
          <w:szCs w:val="32"/>
        </w:rPr>
        <w:t>年无使用政府性基金预算拨款安排的支出。</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40" w:firstLineChars="200"/>
        <w:rPr>
          <w:rFonts w:eastAsia="方正仿宋_GBK"/>
          <w:sz w:val="32"/>
          <w:szCs w:val="32"/>
        </w:rPr>
      </w:pPr>
      <w:r>
        <w:rPr>
          <w:rFonts w:hint="eastAsia" w:eastAsia="方正仿宋_GBK" w:cs="方正仿宋_GBK"/>
          <w:sz w:val="32"/>
          <w:szCs w:val="32"/>
        </w:rPr>
        <w:t>重庆市开州区河堰镇中心小学</w:t>
      </w:r>
      <w:r>
        <w:rPr>
          <w:rFonts w:eastAsia="方正仿宋_GBK"/>
          <w:sz w:val="32"/>
          <w:szCs w:val="32"/>
        </w:rPr>
        <w:t>202</w:t>
      </w:r>
      <w:r>
        <w:rPr>
          <w:rFonts w:hint="eastAsia" w:eastAsia="方正仿宋_GBK"/>
          <w:sz w:val="32"/>
          <w:szCs w:val="32"/>
        </w:rPr>
        <w:t>4</w:t>
      </w:r>
      <w:r>
        <w:rPr>
          <w:rFonts w:hint="eastAsia" w:eastAsia="方正仿宋_GBK" w:cs="方正仿宋_GBK"/>
          <w:sz w:val="32"/>
          <w:szCs w:val="32"/>
        </w:rPr>
        <w:t>年无“三公”经费预算。</w:t>
      </w:r>
    </w:p>
    <w:p>
      <w:pPr>
        <w:overflowPunct w:val="0"/>
        <w:spacing w:line="600" w:lineRule="exact"/>
        <w:ind w:left="640"/>
        <w:rPr>
          <w:rFonts w:eastAsia="方正黑体_GBK"/>
          <w:sz w:val="32"/>
        </w:rPr>
        <w:sectPr>
          <w:footerReference r:id="rId9" w:type="default"/>
          <w:pgSz w:w="11906" w:h="16838"/>
          <w:pgMar w:top="1440" w:right="1800" w:bottom="1440" w:left="1800" w:header="851" w:footer="992" w:gutter="0"/>
          <w:pgNumType w:start="5"/>
          <w:cols w:space="425" w:num="1"/>
          <w:docGrid w:type="lines" w:linePitch="312" w:charSpace="0"/>
        </w:sectPr>
      </w:pPr>
    </w:p>
    <w:p>
      <w:pPr>
        <w:overflowPunct w:val="0"/>
        <w:spacing w:line="600" w:lineRule="exact"/>
        <w:rPr>
          <w:rFonts w:eastAsia="方正黑体_GBK"/>
          <w:sz w:val="32"/>
        </w:rPr>
      </w:pPr>
      <w:r>
        <w:rPr>
          <w:rFonts w:eastAsia="方正黑体_GBK"/>
          <w:sz w:val="32"/>
        </w:rPr>
        <w:t>五、其他重要事项的情况说明</w:t>
      </w:r>
    </w:p>
    <w:p>
      <w:pPr>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．我单位不在机关运行经费统计范围之内。</w:t>
      </w:r>
    </w:p>
    <w:p>
      <w:pPr>
        <w:ind w:firstLine="640" w:firstLineChars="200"/>
        <w:rPr>
          <w:rFonts w:eastAsia="方正仿宋_GBK"/>
          <w:sz w:val="32"/>
          <w:szCs w:val="32"/>
        </w:rPr>
      </w:pPr>
      <w:r>
        <w:rPr>
          <w:rFonts w:eastAsia="方正仿宋_GBK"/>
          <w:sz w:val="32"/>
          <w:szCs w:val="32"/>
        </w:rPr>
        <w:t>2</w:t>
      </w:r>
      <w:r>
        <w:rPr>
          <w:rFonts w:hint="eastAsia" w:eastAsia="方正仿宋_GBK" w:cs="方正仿宋_GBK"/>
          <w:sz w:val="32"/>
          <w:szCs w:val="32"/>
        </w:rPr>
        <w:t>．政府采购情况。本单位政府采购预算总额</w:t>
      </w:r>
      <w:r>
        <w:rPr>
          <w:rFonts w:hint="eastAsia" w:eastAsia="方正仿宋_GBK"/>
          <w:sz w:val="32"/>
          <w:szCs w:val="32"/>
        </w:rPr>
        <w:t>7</w:t>
      </w:r>
      <w:r>
        <w:rPr>
          <w:rFonts w:hint="eastAsia" w:eastAsia="方正仿宋_GBK" w:cs="方正仿宋_GBK"/>
          <w:sz w:val="32"/>
          <w:szCs w:val="32"/>
        </w:rPr>
        <w:t>万元：政府采购货物预算</w:t>
      </w:r>
      <w:r>
        <w:rPr>
          <w:rFonts w:hint="eastAsia" w:eastAsia="方正仿宋_GBK"/>
          <w:sz w:val="32"/>
          <w:szCs w:val="32"/>
        </w:rPr>
        <w:t>7</w:t>
      </w:r>
      <w:r>
        <w:rPr>
          <w:rFonts w:hint="eastAsia" w:eastAsia="方正仿宋_GBK" w:cs="方正仿宋_GBK"/>
          <w:sz w:val="32"/>
          <w:szCs w:val="32"/>
        </w:rPr>
        <w:t>万元；其中一般公共预算拨款政府采购</w:t>
      </w:r>
      <w:r>
        <w:rPr>
          <w:rFonts w:hint="eastAsia" w:eastAsia="方正仿宋_GBK"/>
          <w:sz w:val="32"/>
          <w:szCs w:val="32"/>
        </w:rPr>
        <w:t>7</w:t>
      </w:r>
      <w:r>
        <w:rPr>
          <w:rFonts w:hint="eastAsia" w:eastAsia="方正仿宋_GBK" w:cs="方正仿宋_GBK"/>
          <w:sz w:val="32"/>
          <w:szCs w:val="32"/>
        </w:rPr>
        <w:t>万元：政府采购货物预算</w:t>
      </w:r>
      <w:r>
        <w:rPr>
          <w:rFonts w:hint="eastAsia" w:eastAsia="方正仿宋_GBK"/>
          <w:sz w:val="32"/>
          <w:szCs w:val="32"/>
        </w:rPr>
        <w:t>7</w:t>
      </w:r>
      <w:r>
        <w:rPr>
          <w:rFonts w:hint="eastAsia" w:eastAsia="方正仿宋_GBK" w:cs="方正仿宋_GBK"/>
          <w:sz w:val="32"/>
          <w:szCs w:val="32"/>
        </w:rPr>
        <w:t>万元。</w:t>
      </w:r>
    </w:p>
    <w:p>
      <w:pPr>
        <w:ind w:firstLine="640" w:firstLineChars="200"/>
        <w:rPr>
          <w:rFonts w:eastAsia="方正仿宋_GBK"/>
          <w:color w:val="000000"/>
          <w:sz w:val="32"/>
          <w:szCs w:val="32"/>
        </w:rPr>
      </w:pPr>
      <w:r>
        <w:rPr>
          <w:rFonts w:eastAsia="方正仿宋_GBK"/>
          <w:sz w:val="32"/>
          <w:szCs w:val="32"/>
        </w:rPr>
        <w:t>3</w:t>
      </w:r>
      <w:r>
        <w:rPr>
          <w:rFonts w:hint="eastAsia" w:eastAsia="方正仿宋_GBK" w:cs="方正仿宋_GBK"/>
          <w:sz w:val="32"/>
          <w:szCs w:val="32"/>
        </w:rPr>
        <w:t>．绩效目标设置情况。</w:t>
      </w:r>
      <w:r>
        <w:rPr>
          <w:rFonts w:eastAsia="方正仿宋_GBK"/>
          <w:color w:val="000000"/>
          <w:sz w:val="32"/>
          <w:szCs w:val="32"/>
        </w:rPr>
        <w:t>202</w:t>
      </w:r>
      <w:r>
        <w:rPr>
          <w:rFonts w:hint="eastAsia" w:eastAsia="方正仿宋_GBK"/>
          <w:color w:val="000000"/>
          <w:sz w:val="32"/>
          <w:szCs w:val="32"/>
        </w:rPr>
        <w:t>4</w:t>
      </w:r>
      <w:r>
        <w:rPr>
          <w:rFonts w:hint="eastAsia" w:eastAsia="方正仿宋_GBK" w:cs="方正仿宋_GBK"/>
          <w:color w:val="000000"/>
          <w:sz w:val="32"/>
          <w:szCs w:val="32"/>
        </w:rPr>
        <w:t>年项目支出均实行了绩效目标管理，涉及一般公共预算当年财政拨款</w:t>
      </w:r>
      <w:r>
        <w:rPr>
          <w:rFonts w:hint="eastAsia" w:eastAsia="方正仿宋_GBK"/>
          <w:color w:val="000000"/>
          <w:sz w:val="32"/>
          <w:szCs w:val="32"/>
        </w:rPr>
        <w:t>178.74</w:t>
      </w:r>
      <w:r>
        <w:rPr>
          <w:rFonts w:hint="eastAsia" w:eastAsia="方正仿宋_GBK" w:cs="方正仿宋_GBK"/>
          <w:color w:val="000000"/>
          <w:sz w:val="32"/>
          <w:szCs w:val="32"/>
        </w:rPr>
        <w:t>万元。</w:t>
      </w:r>
    </w:p>
    <w:p>
      <w:pPr>
        <w:ind w:firstLine="640" w:firstLineChars="200"/>
        <w:rPr>
          <w:rFonts w:eastAsia="方正仿宋_GBK"/>
          <w:color w:val="000000"/>
          <w:sz w:val="32"/>
          <w:szCs w:val="32"/>
        </w:rPr>
      </w:pPr>
      <w:r>
        <w:rPr>
          <w:rFonts w:eastAsia="方正仿宋_GBK"/>
          <w:color w:val="000000"/>
          <w:sz w:val="32"/>
          <w:szCs w:val="32"/>
        </w:rPr>
        <w:t>4</w:t>
      </w:r>
      <w:r>
        <w:rPr>
          <w:rFonts w:hint="eastAsia" w:eastAsia="方正仿宋_GBK" w:cs="方正仿宋_GBK"/>
          <w:color w:val="000000"/>
          <w:sz w:val="32"/>
          <w:szCs w:val="32"/>
        </w:rPr>
        <w:t>．国有资产占有使用情况。</w:t>
      </w:r>
      <w:r>
        <w:rPr>
          <w:rFonts w:hint="eastAsia" w:eastAsia="方正仿宋_GBK" w:cs="方正仿宋_GBK"/>
          <w:color w:val="000000"/>
          <w:sz w:val="32"/>
          <w:szCs w:val="32"/>
          <w:lang w:eastAsia="zh-CN"/>
        </w:rPr>
        <w:t>截至</w:t>
      </w:r>
      <w:r>
        <w:rPr>
          <w:rFonts w:eastAsia="方正仿宋_GBK"/>
          <w:color w:val="000000"/>
          <w:sz w:val="32"/>
          <w:szCs w:val="32"/>
        </w:rPr>
        <w:t>202</w:t>
      </w:r>
      <w:r>
        <w:rPr>
          <w:rFonts w:hint="eastAsia" w:eastAsia="方正仿宋_GBK"/>
          <w:color w:val="000000"/>
          <w:sz w:val="32"/>
          <w:szCs w:val="32"/>
        </w:rPr>
        <w:t>3</w:t>
      </w:r>
      <w:r>
        <w:rPr>
          <w:rFonts w:hint="eastAsia" w:eastAsia="方正仿宋_GBK" w:cs="方正仿宋_GBK"/>
          <w:color w:val="000000"/>
          <w:sz w:val="32"/>
          <w:szCs w:val="32"/>
        </w:rPr>
        <w:t>年</w:t>
      </w:r>
      <w:r>
        <w:rPr>
          <w:rFonts w:eastAsia="方正仿宋_GBK"/>
          <w:color w:val="000000"/>
          <w:sz w:val="32"/>
          <w:szCs w:val="32"/>
        </w:rPr>
        <w:t>12</w:t>
      </w:r>
      <w:r>
        <w:rPr>
          <w:rFonts w:hint="eastAsia" w:eastAsia="方正仿宋_GBK" w:cs="方正仿宋_GBK"/>
          <w:color w:val="000000"/>
          <w:sz w:val="32"/>
          <w:szCs w:val="32"/>
        </w:rPr>
        <w:t>月，所属各预算单位共有车辆</w:t>
      </w:r>
      <w:r>
        <w:rPr>
          <w:rFonts w:eastAsia="方正仿宋_GBK"/>
          <w:color w:val="000000"/>
          <w:sz w:val="32"/>
          <w:szCs w:val="32"/>
        </w:rPr>
        <w:t>0</w:t>
      </w:r>
      <w:r>
        <w:rPr>
          <w:rFonts w:hint="eastAsia" w:eastAsia="方正仿宋_GBK" w:cs="方正仿宋_GBK"/>
          <w:color w:val="000000"/>
          <w:sz w:val="32"/>
          <w:szCs w:val="32"/>
        </w:rPr>
        <w:t>辆，其中一般公务用车</w:t>
      </w:r>
      <w:r>
        <w:rPr>
          <w:rFonts w:eastAsia="方正仿宋_GBK"/>
          <w:color w:val="000000"/>
          <w:sz w:val="32"/>
          <w:szCs w:val="32"/>
        </w:rPr>
        <w:t>0</w:t>
      </w:r>
      <w:r>
        <w:rPr>
          <w:rFonts w:hint="eastAsia" w:eastAsia="方正仿宋_GBK" w:cs="方正仿宋_GBK"/>
          <w:color w:val="000000"/>
          <w:sz w:val="32"/>
          <w:szCs w:val="32"/>
        </w:rPr>
        <w:t>辆。</w:t>
      </w:r>
      <w:r>
        <w:rPr>
          <w:rFonts w:eastAsia="方正仿宋_GBK"/>
          <w:color w:val="000000"/>
          <w:sz w:val="32"/>
          <w:szCs w:val="32"/>
        </w:rPr>
        <w:t>202</w:t>
      </w:r>
      <w:r>
        <w:rPr>
          <w:rFonts w:hint="eastAsia" w:eastAsia="方正仿宋_GBK"/>
          <w:color w:val="000000"/>
          <w:sz w:val="32"/>
          <w:szCs w:val="32"/>
        </w:rPr>
        <w:t>4</w:t>
      </w:r>
      <w:r>
        <w:rPr>
          <w:rFonts w:hint="eastAsia" w:eastAsia="方正仿宋_GBK" w:cs="方正仿宋_GBK"/>
          <w:color w:val="000000"/>
          <w:sz w:val="32"/>
          <w:szCs w:val="32"/>
        </w:rPr>
        <w:t>年一般公共预算未安排购置车辆。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sectPr>
          <w:footerReference r:id="rId10" w:type="default"/>
          <w:pgSz w:w="11906" w:h="16838"/>
          <w:pgMar w:top="1440" w:right="1800" w:bottom="1440" w:left="1800" w:header="851" w:footer="992" w:gutter="0"/>
          <w:pgNumType w:start="6"/>
          <w:cols w:space="425" w:num="1"/>
          <w:docGrid w:type="lines" w:linePitch="312" w:charSpace="0"/>
        </w:sect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w:t>
      </w:r>
    </w:p>
    <w:p>
      <w:pPr>
        <w:overflowPunct w:val="0"/>
        <w:spacing w:line="600" w:lineRule="exact"/>
        <w:rPr>
          <w:rFonts w:eastAsia="方正仿宋_GBK"/>
          <w:sz w:val="32"/>
          <w:szCs w:val="32"/>
        </w:rPr>
      </w:pPr>
      <w:r>
        <w:rPr>
          <w:rFonts w:eastAsia="方正仿宋_GBK"/>
          <w:sz w:val="32"/>
          <w:szCs w:val="32"/>
        </w:rPr>
        <w:t>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sectPr>
          <w:footerReference r:id="rId11" w:type="default"/>
          <w:pgSz w:w="11906" w:h="16838"/>
          <w:pgMar w:top="1440" w:right="1800" w:bottom="1440" w:left="1800" w:header="851" w:footer="992" w:gutter="0"/>
          <w:pgNumType w:start="7"/>
          <w:cols w:space="425" w:num="1"/>
          <w:docGrid w:type="lines" w:linePitch="312" w:charSpace="0"/>
        </w:sectPr>
      </w:pPr>
    </w:p>
    <w:p>
      <w:pPr>
        <w:spacing w:line="600" w:lineRule="exact"/>
        <w:ind w:firstLine="880" w:firstLineChars="200"/>
        <w:rPr>
          <w:rFonts w:eastAsia="方正小标宋_GBK"/>
          <w:sz w:val="44"/>
          <w:szCs w:val="44"/>
        </w:rPr>
      </w:pP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2024年部门预算公开报表（详见附表重庆市开州区河堰镇中心小学</w:t>
      </w:r>
      <w:r>
        <w:rPr>
          <w:rFonts w:eastAsia="方正黑体_GBK"/>
          <w:sz w:val="32"/>
        </w:rPr>
        <w:t>2024年部门预算公开报表</w:t>
      </w:r>
      <w:r>
        <w:rPr>
          <w:rFonts w:hint="eastAsia" w:eastAsia="方正黑体_GBK"/>
          <w:sz w:val="32"/>
        </w:rPr>
        <w:t>）</w:t>
      </w:r>
    </w:p>
    <w:p>
      <w:pPr>
        <w:spacing w:line="600" w:lineRule="exact"/>
        <w:rPr>
          <w:rFonts w:eastAsia="方正仿宋_GBK"/>
          <w:b/>
          <w:sz w:val="32"/>
          <w:szCs w:val="32"/>
        </w:rPr>
      </w:pPr>
      <w:r>
        <w:rPr>
          <w:rFonts w:eastAsia="方正仿宋_GBK"/>
          <w:b/>
          <w:sz w:val="32"/>
        </w:rPr>
        <w:t>部门预算公开联系人：</w:t>
      </w:r>
      <w:r>
        <w:rPr>
          <w:rFonts w:hint="eastAsia" w:eastAsia="方正仿宋_GBK"/>
          <w:b/>
          <w:sz w:val="32"/>
        </w:rPr>
        <w:t>李新</w:t>
      </w:r>
      <w:r>
        <w:rPr>
          <w:rFonts w:eastAsia="方正仿宋_GBK"/>
          <w:b/>
          <w:sz w:val="32"/>
        </w:rPr>
        <w:t xml:space="preserve">  联系方式：</w:t>
      </w:r>
      <w:r>
        <w:rPr>
          <w:rFonts w:eastAsia="仿宋_GB2312"/>
          <w:b/>
          <w:sz w:val="32"/>
          <w:szCs w:val="32"/>
        </w:rPr>
        <w:t>023-52488303</w:t>
      </w:r>
    </w:p>
    <w:p>
      <w:pPr>
        <w:spacing w:line="540" w:lineRule="exact"/>
        <w:jc w:val="center"/>
        <w:rPr>
          <w:rFonts w:eastAsia="方正小标宋_GBK"/>
          <w:bCs/>
          <w:sz w:val="44"/>
          <w:szCs w:val="44"/>
        </w:rPr>
      </w:pPr>
    </w:p>
    <w:p>
      <w:pPr>
        <w:spacing w:line="540" w:lineRule="exact"/>
        <w:jc w:val="center"/>
        <w:rPr>
          <w:rFonts w:eastAsia="方正小标宋_GBK"/>
          <w:bCs/>
          <w:sz w:val="44"/>
          <w:szCs w:val="44"/>
        </w:rPr>
      </w:pPr>
    </w:p>
    <w:p>
      <w:pPr>
        <w:spacing w:line="540" w:lineRule="exact"/>
        <w:jc w:val="center"/>
        <w:rPr>
          <w:rFonts w:eastAsia="方正小标宋_GBK"/>
          <w:bCs/>
          <w:sz w:val="44"/>
          <w:szCs w:val="44"/>
        </w:rPr>
      </w:pPr>
    </w:p>
    <w:p>
      <w:pPr>
        <w:spacing w:line="540" w:lineRule="exact"/>
        <w:jc w:val="center"/>
        <w:rPr>
          <w:rFonts w:eastAsia="方正小标宋_GBK"/>
          <w:bCs/>
          <w:sz w:val="44"/>
          <w:szCs w:val="44"/>
        </w:rPr>
      </w:pPr>
    </w:p>
    <w:p>
      <w:pPr>
        <w:spacing w:line="540" w:lineRule="exact"/>
        <w:jc w:val="center"/>
        <w:rPr>
          <w:rFonts w:eastAsia="方正小标宋_GBK"/>
          <w:bCs/>
          <w:sz w:val="44"/>
          <w:szCs w:val="44"/>
        </w:rPr>
      </w:pPr>
    </w:p>
    <w:p>
      <w:pPr>
        <w:spacing w:line="540" w:lineRule="exact"/>
        <w:jc w:val="center"/>
        <w:rPr>
          <w:rFonts w:eastAsia="方正小标宋_GBK"/>
          <w:bCs/>
          <w:sz w:val="44"/>
          <w:szCs w:val="44"/>
        </w:rPr>
      </w:pPr>
    </w:p>
    <w:p>
      <w:pPr>
        <w:spacing w:line="540" w:lineRule="exact"/>
        <w:jc w:val="right"/>
        <w:rPr>
          <w:rFonts w:eastAsia="方正小标宋_GBK"/>
          <w:bCs/>
          <w:sz w:val="44"/>
          <w:szCs w:val="44"/>
        </w:rPr>
      </w:pPr>
      <w:r>
        <w:rPr>
          <w:rFonts w:hint="eastAsia" w:eastAsia="方正仿宋_GBK"/>
          <w:bCs/>
          <w:sz w:val="32"/>
        </w:rPr>
        <w:t>重庆市开州区河堰镇中心小学</w:t>
      </w:r>
    </w:p>
    <w:p>
      <w:pPr>
        <w:spacing w:line="540" w:lineRule="exact"/>
        <w:jc w:val="right"/>
        <w:rPr>
          <w:rFonts w:eastAsia="方正仿宋_GBK"/>
          <w:bCs/>
          <w:sz w:val="32"/>
        </w:rPr>
      </w:pPr>
      <w:r>
        <w:rPr>
          <w:rFonts w:hint="eastAsia" w:eastAsia="方正仿宋_GBK"/>
          <w:bCs/>
          <w:sz w:val="32"/>
        </w:rPr>
        <w:t>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overflowPunct w:val="0"/>
        <w:spacing w:line="480" w:lineRule="exact"/>
        <w:ind w:firstLine="210" w:firstLineChars="100"/>
        <w:jc w:val="left"/>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hint="eastAsia" w:eastAsia="方正仿宋_GBK"/>
          <w:kern w:val="0"/>
          <w:sz w:val="28"/>
          <w:szCs w:val="28"/>
        </w:rPr>
        <w:t>河堰镇中心小学</w:t>
      </w:r>
      <w:r>
        <w:rPr>
          <w:rFonts w:eastAsia="方正仿宋_GBK"/>
          <w:kern w:val="0"/>
          <w:sz w:val="28"/>
          <w:szCs w:val="28"/>
        </w:rPr>
        <w:t>办公室       2024年</w:t>
      </w:r>
      <w:r>
        <w:rPr>
          <w:rFonts w:hint="eastAsia" w:eastAsia="方正仿宋_GBK"/>
          <w:kern w:val="0"/>
          <w:sz w:val="28"/>
          <w:szCs w:val="28"/>
        </w:rPr>
        <w:t>3月21日</w:t>
      </w:r>
      <w:r>
        <w:rPr>
          <w:rFonts w:eastAsia="方正仿宋_GBK"/>
          <w:kern w:val="0"/>
          <w:sz w:val="28"/>
          <w:szCs w:val="28"/>
        </w:rPr>
        <w:t>印发</w:t>
      </w:r>
    </w:p>
    <w:sectPr>
      <w:footerReference r:id="rId12" w:type="default"/>
      <w:pgSz w:w="11906" w:h="16838"/>
      <w:pgMar w:top="1440" w:right="1800" w:bottom="1440" w:left="1800"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3C6B9-8E10-4A33-ACDD-87AAD94108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28E732D6-08D2-48A9-892C-5C32EB4ED5A3}"/>
  </w:font>
  <w:font w:name="方正小标宋简体">
    <w:panose1 w:val="03000509000000000000"/>
    <w:charset w:val="86"/>
    <w:family w:val="script"/>
    <w:pitch w:val="default"/>
    <w:sig w:usb0="00000001" w:usb1="080E0000" w:usb2="00000000" w:usb3="00000000" w:csb0="00040000" w:csb1="00000000"/>
    <w:embedRegular r:id="rId3" w:fontKey="{6FCB9A83-C2BA-454B-907F-F7CF9AA4ACBA}"/>
  </w:font>
  <w:font w:name="方正仿宋_GBK">
    <w:panose1 w:val="03000509000000000000"/>
    <w:charset w:val="86"/>
    <w:family w:val="script"/>
    <w:pitch w:val="default"/>
    <w:sig w:usb0="00000001" w:usb1="080E0000" w:usb2="00000000" w:usb3="00000000" w:csb0="00040000" w:csb1="00000000"/>
    <w:embedRegular r:id="rId4" w:fontKey="{FD80B2A4-BD12-4636-B3DD-B661D7E7266F}"/>
  </w:font>
  <w:font w:name="方正楷体_GBK">
    <w:panose1 w:val="03000509000000000000"/>
    <w:charset w:val="86"/>
    <w:family w:val="script"/>
    <w:pitch w:val="default"/>
    <w:sig w:usb0="00000001" w:usb1="080E0000" w:usb2="00000000" w:usb3="00000000" w:csb0="00040000" w:csb1="00000000"/>
    <w:embedRegular r:id="rId5" w:fontKey="{9F9CD2A9-23E4-40E9-9A71-0C513F8F58FC}"/>
  </w:font>
  <w:font w:name="方正小标宋_GBK">
    <w:panose1 w:val="03000509000000000000"/>
    <w:charset w:val="86"/>
    <w:family w:val="script"/>
    <w:pitch w:val="default"/>
    <w:sig w:usb0="00000001" w:usb1="080E0000" w:usb2="00000000" w:usb3="00000000" w:csb0="00040000" w:csb1="00000000"/>
    <w:embedRegular r:id="rId6" w:fontKey="{2FD63F0E-B61E-4670-A432-5108A0BCD46E}"/>
  </w:font>
  <w:font w:name="华文中宋">
    <w:altName w:val="宋体"/>
    <w:panose1 w:val="02010600040101010101"/>
    <w:charset w:val="86"/>
    <w:family w:val="auto"/>
    <w:pitch w:val="default"/>
    <w:sig w:usb0="00000000" w:usb1="00000000" w:usb2="00000010" w:usb3="00000000" w:csb0="0004009F" w:csb1="00000000"/>
    <w:embedRegular r:id="rId7" w:fontKey="{7B26AED5-6701-4241-AB08-2E834CB7F33D}"/>
  </w:font>
  <w:font w:name="方正黑体_GBK">
    <w:panose1 w:val="03000509000000000000"/>
    <w:charset w:val="86"/>
    <w:family w:val="script"/>
    <w:pitch w:val="default"/>
    <w:sig w:usb0="00000001" w:usb1="080E0000" w:usb2="00000000" w:usb3="00000000" w:csb0="00040000" w:csb1="00000000"/>
    <w:embedRegular r:id="rId8" w:fontKey="{D44422FF-12CA-40B2-BFC2-5B29AF34F62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4645660</wp:posOffset>
              </wp:positionH>
              <wp:positionV relativeFrom="paragraph">
                <wp:posOffset>228600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5.8pt;margin-top:18pt;height:144pt;width:144pt;mso-position-horizontal-relative:margin;mso-wrap-style:none;z-index:251659264;mso-width-relative:page;mso-height-relative:page;" filled="f" stroked="f" coordsize="21600,21600" o:gfxdata="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WbEAtYAAAALAQAADwAAAAAAAAABACAAAAAiAAAAZHJzL2Rvd25yZXYueG1sUEsBAhQA&#10;FAAAAAgAh07iQHsvHiUtAgAAVwQAAA4AAAAAAAAAAQAgAAAAJQEAAGRycy9lMm9Eb2MueG1sUEsF&#10;BgAAAAAGAAYAWQEAAMQFA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8</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3"/>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8</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-19050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pt;margin-top:-1.5pt;height:144pt;width:144pt;mso-position-horizontal-relative:margin;mso-wrap-style:none;z-index:251660288;mso-width-relative:page;mso-height-relative:page;" filled="f" stroked="f" coordsize="21600,21600" o:gfxdata="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R+6X/VAAAACAEAAA8AAAAAAAAAAQAgAAAAIgAAAGRycy9kb3ducmV2LnhtbFBLAQIUABQA&#10;AAAIAIdO4kCD+evlLAIAAFcEAAAOAAAAAAAAAAEAIAAAACQBAABkcnMvZTJvRG9jLnhtbFBLBQYA&#10;AAAABgAGAFkBAADCBQ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6</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3"/>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6</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7</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3"/>
                      <w:rPr>
                        <w:rFonts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7</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22BC2"/>
    <w:rsid w:val="00233737"/>
    <w:rsid w:val="005E00FC"/>
    <w:rsid w:val="006A0CA9"/>
    <w:rsid w:val="00722BC2"/>
    <w:rsid w:val="009171EF"/>
    <w:rsid w:val="03547F3F"/>
    <w:rsid w:val="04742C53"/>
    <w:rsid w:val="061F2A86"/>
    <w:rsid w:val="07214293"/>
    <w:rsid w:val="07C55C30"/>
    <w:rsid w:val="0A8628A4"/>
    <w:rsid w:val="0D95362E"/>
    <w:rsid w:val="1A3B37AF"/>
    <w:rsid w:val="1B1464DA"/>
    <w:rsid w:val="1E1E766F"/>
    <w:rsid w:val="236277D0"/>
    <w:rsid w:val="293C4DD3"/>
    <w:rsid w:val="2F0D4E98"/>
    <w:rsid w:val="31102E48"/>
    <w:rsid w:val="36BD312A"/>
    <w:rsid w:val="38103E83"/>
    <w:rsid w:val="3B2132F4"/>
    <w:rsid w:val="3BC069DA"/>
    <w:rsid w:val="3E703177"/>
    <w:rsid w:val="3FA94B93"/>
    <w:rsid w:val="455C6204"/>
    <w:rsid w:val="46505271"/>
    <w:rsid w:val="49FF4529"/>
    <w:rsid w:val="4C1B0BC7"/>
    <w:rsid w:val="4F0A3A80"/>
    <w:rsid w:val="50526B81"/>
    <w:rsid w:val="51D535C6"/>
    <w:rsid w:val="527A5831"/>
    <w:rsid w:val="53685191"/>
    <w:rsid w:val="55A82D9F"/>
    <w:rsid w:val="58B167AB"/>
    <w:rsid w:val="5BA504AD"/>
    <w:rsid w:val="5C37685F"/>
    <w:rsid w:val="5D3A2E77"/>
    <w:rsid w:val="61490F6D"/>
    <w:rsid w:val="62C456BC"/>
    <w:rsid w:val="647B624F"/>
    <w:rsid w:val="65644F35"/>
    <w:rsid w:val="68023440"/>
    <w:rsid w:val="6ED8429D"/>
    <w:rsid w:val="763A4519"/>
    <w:rsid w:val="7C1B066A"/>
    <w:rsid w:val="7C8C550F"/>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autoRedefine/>
    <w:qFormat/>
    <w:uiPriority w:val="0"/>
  </w:style>
  <w:style w:type="paragraph" w:styleId="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372</Words>
  <Characters>2124</Characters>
  <Lines>17</Lines>
  <Paragraphs>4</Paragraphs>
  <TotalTime>3</TotalTime>
  <ScaleCrop>false</ScaleCrop>
  <LinksUpToDate>false</LinksUpToDate>
  <CharactersWithSpaces>2492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2024-03-05T08:38:00Z</dcterms:created>
  <dc:creator>Administrator</dc:creator>
  <cp:lastModifiedBy>Administrator</cp:lastModifiedBy>
  <dcterms:modified xsi:type="dcterms:W3CDTF">2024-03-29T02:34:39Z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77A58EEF92B844A5A039C041A574717F_12</vt:lpwstr>
  </property>
</Properties>
</file>