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460"/>
        </w:tabs>
        <w:spacing w:line="1400" w:lineRule="exact"/>
        <w:jc w:val="center"/>
        <w:rPr>
          <w:rFonts w:ascii="方正小标宋_GBK" w:eastAsia="方正小标宋_GBK"/>
          <w:b/>
          <w:color w:val="FF0000"/>
          <w:spacing w:val="82"/>
          <w:w w:val="40"/>
          <w:sz w:val="130"/>
          <w:szCs w:val="130"/>
        </w:rPr>
      </w:pPr>
      <w:bookmarkStart w:id="0" w:name="_GoBack"/>
      <w:bookmarkEnd w:id="0"/>
      <w:r>
        <w:rPr>
          <w:rFonts w:hint="eastAsia" w:ascii="方正小标宋_GBK" w:eastAsia="方正小标宋_GBK"/>
          <w:b/>
          <w:color w:val="FF0000"/>
          <w:spacing w:val="82"/>
          <w:w w:val="40"/>
          <w:sz w:val="130"/>
          <w:szCs w:val="130"/>
        </w:rPr>
        <w:t>重庆市开州区特殊教育学校</w:t>
      </w:r>
    </w:p>
    <w:p>
      <w:pPr>
        <w:spacing w:line="600" w:lineRule="exact"/>
        <w:jc w:val="center"/>
        <w:rPr>
          <w:rFonts w:ascii="仿宋_GB2312" w:eastAsia="仿宋_GB2312"/>
          <w:color w:val="FFFFFF"/>
          <w:w w:val="90"/>
          <w:szCs w:val="32"/>
        </w:rPr>
      </w:pPr>
    </w:p>
    <w:p>
      <w:pPr>
        <w:ind w:left="316" w:leftChars="100" w:right="316" w:rightChars="100"/>
        <w:rPr>
          <w:rFonts w:eastAsia="方正楷体_GBK"/>
        </w:rPr>
      </w:pPr>
      <w:r>
        <w:tab/>
      </w:r>
      <w:r>
        <w:rPr>
          <w:rFonts w:hint="eastAsia"/>
        </w:rPr>
        <w:t>开特校办〔202</w:t>
      </w:r>
      <w:r>
        <w:t>4</w:t>
      </w:r>
      <w:r>
        <w:rPr>
          <w:rFonts w:hint="eastAsia"/>
        </w:rPr>
        <w:t>〕4</w:t>
      </w:r>
      <w:r>
        <w:t>号</w:t>
      </w:r>
      <w:r>
        <w:tab/>
      </w:r>
      <w:r>
        <w:t xml:space="preserve">             </w:t>
      </w:r>
      <w:r>
        <w:rPr>
          <w:rFonts w:hint="eastAsia"/>
        </w:rPr>
        <w:t>签发人：</w:t>
      </w:r>
      <w:r>
        <w:rPr>
          <w:rFonts w:hint="eastAsia" w:eastAsia="方正楷体_GBK"/>
        </w:rPr>
        <w:t>明廷辉</w:t>
      </w:r>
    </w:p>
    <w:p>
      <w:pPr>
        <w:spacing w:line="600" w:lineRule="exact"/>
        <w:jc w:val="center"/>
        <w:rPr>
          <w:rFonts w:ascii="仿宋_GB2312" w:eastAsia="仿宋_GB2312"/>
          <w:color w:val="FFFFFF"/>
          <w:w w:val="90"/>
          <w:szCs w:val="32"/>
        </w:rPr>
      </w:pPr>
      <w:r>
        <w:rPr>
          <w:rFonts w:ascii="仿宋_GB2312" w:eastAsia="仿宋_GB2312"/>
          <w:color w:val="FFFFFF"/>
          <w:szCs w:val="32"/>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193675</wp:posOffset>
                </wp:positionV>
                <wp:extent cx="58318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22225">
                          <a:solidFill>
                            <a:srgbClr val="FF0000"/>
                          </a:solidFill>
                          <a:round/>
                        </a:ln>
                      </wps:spPr>
                      <wps:bodyPr/>
                    </wps:wsp>
                  </a:graphicData>
                </a:graphic>
              </wp:anchor>
            </w:drawing>
          </mc:Choice>
          <mc:Fallback>
            <w:pict>
              <v:line id="_x0000_s1026" o:spid="_x0000_s1026" o:spt="20" style="position:absolute;left:0pt;margin-left:-8.05pt;margin-top:15.25pt;height:0pt;width:459.2pt;z-index:251659264;mso-width-relative:page;mso-height-relative:page;" filled="f" stroked="t" coordsize="21600,21600" o:gfxdata="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58MTx2AAA&#10;AAkBAAAPAAAAAAAAAAEAIAAAACIAAABkcnMvZG93bnJldi54bWxQSwECFAAUAAAACACHTuJABKGi&#10;DeUBAACrAwAADgAAAAAAAAABACAAAAAnAQAAZHJzL2Uyb0RvYy54bWxQSwUGAAAAAAYABgBZAQAA&#10;fgUAAAAA&#10;">
                <v:fill on="f" focussize="0,0"/>
                <v:stroke weight="1.75pt" color="#FF0000" joinstyle="round"/>
                <v:imagedata o:title=""/>
                <o:lock v:ext="edit" aspectratio="f"/>
              </v:line>
            </w:pict>
          </mc:Fallback>
        </mc:AlternateContent>
      </w:r>
    </w:p>
    <w:p>
      <w:pPr>
        <w:tabs>
          <w:tab w:val="left" w:pos="360"/>
          <w:tab w:val="left" w:pos="8460"/>
        </w:tabs>
        <w:spacing w:line="1400" w:lineRule="exact"/>
        <w:jc w:val="center"/>
        <w:rPr>
          <w:rFonts w:eastAsia="方正小标宋_GBK"/>
          <w:szCs w:val="32"/>
        </w:rPr>
      </w:pPr>
      <w:r>
        <w:rPr>
          <w:rFonts w:eastAsia="方正小标宋_GBK"/>
          <w:color w:val="000000"/>
          <w:sz w:val="44"/>
          <w:szCs w:val="44"/>
        </w:rPr>
        <w:t>重庆市开州区特殊教育学校</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32" w:firstLineChars="200"/>
        <w:rPr>
          <w:szCs w:val="32"/>
        </w:rPr>
      </w:pPr>
      <w:r>
        <w:rPr>
          <w:szCs w:val="32"/>
        </w:rPr>
        <w:t>按照有关财政预算公开的部署和要求，依据《中华人民共和国政府信息公开条例》（国务院令第492号）</w:t>
      </w:r>
      <w:r>
        <w:rPr>
          <w:rFonts w:hint="eastAsia"/>
          <w:szCs w:val="32"/>
        </w:rPr>
        <w:t>、重庆市开州区财政局</w:t>
      </w:r>
      <w:r>
        <w:rPr>
          <w:szCs w:val="32"/>
        </w:rPr>
        <w:t>《关于批复2024年</w:t>
      </w:r>
      <w:r>
        <w:rPr>
          <w:rFonts w:hint="eastAsia"/>
          <w:szCs w:val="32"/>
        </w:rPr>
        <w:t>区级</w:t>
      </w:r>
      <w:r>
        <w:rPr>
          <w:szCs w:val="32"/>
        </w:rPr>
        <w:t>部门预算的通知》（</w:t>
      </w:r>
      <w:r>
        <w:rPr>
          <w:rFonts w:hint="eastAsia"/>
          <w:szCs w:val="32"/>
        </w:rPr>
        <w:t>开州财教发</w:t>
      </w:r>
      <w:r>
        <w:rPr>
          <w:szCs w:val="32"/>
        </w:rPr>
        <w:t>〔2024〕</w:t>
      </w:r>
      <w:r>
        <w:rPr>
          <w:rFonts w:hint="eastAsia"/>
          <w:szCs w:val="32"/>
        </w:rPr>
        <w:t>10</w:t>
      </w:r>
      <w:r>
        <w:rPr>
          <w:szCs w:val="32"/>
        </w:rPr>
        <w:t>号）</w:t>
      </w:r>
      <w:r>
        <w:rPr>
          <w:rFonts w:hint="eastAsia"/>
          <w:szCs w:val="32"/>
        </w:rPr>
        <w:t>及重庆市开州区教育委员会</w:t>
      </w:r>
      <w:r>
        <w:rPr>
          <w:szCs w:val="32"/>
        </w:rPr>
        <w:t>《关于批复2024年部门预算的通知》（</w:t>
      </w:r>
      <w:r>
        <w:rPr>
          <w:rFonts w:hint="eastAsia"/>
          <w:szCs w:val="32"/>
        </w:rPr>
        <w:t>开州教财</w:t>
      </w:r>
      <w:r>
        <w:rPr>
          <w:szCs w:val="32"/>
        </w:rPr>
        <w:t>〔2024〕</w:t>
      </w:r>
      <w:r>
        <w:rPr>
          <w:rFonts w:hint="eastAsia"/>
          <w:szCs w:val="32"/>
        </w:rPr>
        <w:t>3</w:t>
      </w:r>
      <w:r>
        <w:rPr>
          <w:szCs w:val="32"/>
        </w:rPr>
        <w:t>号）</w:t>
      </w:r>
      <w:r>
        <w:rPr>
          <w:rFonts w:hint="eastAsia"/>
          <w:szCs w:val="32"/>
        </w:rPr>
        <w:t>要求</w:t>
      </w:r>
      <w:r>
        <w:rPr>
          <w:szCs w:val="32"/>
        </w:rPr>
        <w:t>,现将</w:t>
      </w:r>
      <w:r>
        <w:rPr>
          <w:rFonts w:hint="eastAsia"/>
          <w:szCs w:val="32"/>
        </w:rPr>
        <w:t>重庆市开州区特殊教育学校</w:t>
      </w:r>
      <w:r>
        <w:rPr>
          <w:szCs w:val="32"/>
        </w:rPr>
        <w:t>2024年部门预算批复情况公开如下：</w:t>
      </w:r>
    </w:p>
    <w:p>
      <w:pPr>
        <w:spacing w:line="600" w:lineRule="exact"/>
        <w:jc w:val="center"/>
        <w:rPr>
          <w:rFonts w:ascii="方正小标宋_GBK" w:eastAsia="方正小标宋_GBK"/>
          <w:sz w:val="44"/>
          <w:szCs w:val="44"/>
        </w:rPr>
      </w:pPr>
      <w:r>
        <w:rPr>
          <w:szCs w:val="32"/>
        </w:rPr>
        <w:br w:type="page"/>
      </w:r>
      <w:r>
        <w:rPr>
          <w:rFonts w:hint="eastAsia" w:ascii="方正小标宋_GBK" w:eastAsia="方正小标宋_GBK"/>
          <w:sz w:val="44"/>
          <w:szCs w:val="44"/>
        </w:rPr>
        <w:t>目    录</w:t>
      </w:r>
    </w:p>
    <w:p/>
    <w:p>
      <w:pPr>
        <w:spacing w:line="600" w:lineRule="exact"/>
        <w:jc w:val="center"/>
        <w:rPr>
          <w:rFonts w:eastAsia="方正楷体_GBK"/>
          <w:szCs w:val="32"/>
        </w:rPr>
      </w:pPr>
      <w:r>
        <w:rPr>
          <w:rFonts w:eastAsia="方正楷体_GBK"/>
          <w:szCs w:val="32"/>
        </w:rPr>
        <w:t>第一部分：2024年部门预算情况说明</w:t>
      </w:r>
    </w:p>
    <w:p>
      <w:pPr>
        <w:spacing w:line="600" w:lineRule="exact"/>
      </w:pPr>
    </w:p>
    <w:p>
      <w:pPr>
        <w:spacing w:line="600" w:lineRule="exact"/>
        <w:rPr>
          <w:szCs w:val="32"/>
        </w:rPr>
      </w:pPr>
      <w:r>
        <w:rPr>
          <w:szCs w:val="32"/>
        </w:rPr>
        <w:t>一、单位基本情况</w:t>
      </w:r>
    </w:p>
    <w:p>
      <w:pPr>
        <w:spacing w:line="600" w:lineRule="exact"/>
        <w:rPr>
          <w:szCs w:val="32"/>
        </w:rPr>
      </w:pPr>
      <w:r>
        <w:rPr>
          <w:szCs w:val="32"/>
        </w:rPr>
        <w:t>二、部门收支总体情况</w:t>
      </w:r>
    </w:p>
    <w:p>
      <w:pPr>
        <w:spacing w:line="600" w:lineRule="exact"/>
        <w:rPr>
          <w:szCs w:val="32"/>
        </w:rPr>
      </w:pPr>
      <w:r>
        <w:rPr>
          <w:szCs w:val="32"/>
        </w:rPr>
        <w:t>三、部门预算情况说明</w:t>
      </w:r>
    </w:p>
    <w:p>
      <w:pPr>
        <w:spacing w:line="600" w:lineRule="exact"/>
        <w:rPr>
          <w:szCs w:val="32"/>
        </w:rPr>
      </w:pPr>
      <w:r>
        <w:rPr>
          <w:szCs w:val="32"/>
        </w:rPr>
        <w:t>四、</w:t>
      </w:r>
      <w:r>
        <w:rPr>
          <w:rFonts w:hint="eastAsia" w:ascii="方正仿宋_GBK"/>
          <w:szCs w:val="32"/>
        </w:rPr>
        <w:t>“三公”经费</w:t>
      </w:r>
      <w:r>
        <w:rPr>
          <w:szCs w:val="32"/>
        </w:rPr>
        <w:t>情况说明</w:t>
      </w:r>
    </w:p>
    <w:p>
      <w:pPr>
        <w:spacing w:line="600" w:lineRule="exact"/>
        <w:rPr>
          <w:szCs w:val="32"/>
        </w:rPr>
      </w:pPr>
      <w:r>
        <w:rPr>
          <w:szCs w:val="32"/>
        </w:rPr>
        <w:t>五、其他重要事项的情况说明</w:t>
      </w:r>
    </w:p>
    <w:p>
      <w:pPr>
        <w:spacing w:line="600" w:lineRule="exact"/>
        <w:rPr>
          <w:szCs w:val="32"/>
        </w:rPr>
      </w:pPr>
      <w:r>
        <w:rPr>
          <w:szCs w:val="32"/>
        </w:rPr>
        <w:t>六、专业性名词解释</w:t>
      </w:r>
    </w:p>
    <w:p>
      <w:pPr>
        <w:spacing w:line="600" w:lineRule="exact"/>
        <w:rPr>
          <w:szCs w:val="32"/>
        </w:rPr>
      </w:pPr>
    </w:p>
    <w:p>
      <w:pPr>
        <w:spacing w:line="600" w:lineRule="exact"/>
        <w:jc w:val="center"/>
      </w:pPr>
      <w:r>
        <w:rPr>
          <w:rFonts w:eastAsia="方正楷体_GBK"/>
          <w:szCs w:val="32"/>
        </w:rPr>
        <w:t>第二部分：2024年部门预算</w:t>
      </w:r>
      <w:r>
        <w:rPr>
          <w:rFonts w:hint="eastAsia" w:eastAsia="方正楷体_GBK"/>
          <w:szCs w:val="32"/>
        </w:rPr>
        <w:t>公开报</w:t>
      </w:r>
      <w:r>
        <w:rPr>
          <w:rFonts w:eastAsia="方正楷体_GBK"/>
          <w:szCs w:val="32"/>
        </w:rPr>
        <w:t>表</w:t>
      </w:r>
    </w:p>
    <w:p>
      <w:pPr>
        <w:spacing w:line="600" w:lineRule="exact"/>
      </w:pPr>
    </w:p>
    <w:p>
      <w:pPr>
        <w:spacing w:line="600" w:lineRule="exact"/>
        <w:rPr>
          <w:szCs w:val="32"/>
        </w:rPr>
      </w:pPr>
      <w:r>
        <w:rPr>
          <w:szCs w:val="32"/>
        </w:rPr>
        <w:t>表1</w:t>
      </w:r>
      <w:r>
        <w:rPr>
          <w:rFonts w:hint="eastAsia"/>
          <w:szCs w:val="32"/>
        </w:rPr>
        <w:t>.重庆市开州区特殊教育学校收支预算总表</w:t>
      </w:r>
    </w:p>
    <w:p>
      <w:pPr>
        <w:spacing w:line="600" w:lineRule="exact"/>
        <w:rPr>
          <w:szCs w:val="32"/>
        </w:rPr>
      </w:pPr>
      <w:r>
        <w:rPr>
          <w:szCs w:val="32"/>
        </w:rPr>
        <w:t>表2</w:t>
      </w:r>
      <w:r>
        <w:rPr>
          <w:rFonts w:hint="eastAsia"/>
          <w:szCs w:val="32"/>
        </w:rPr>
        <w:t>.重庆市开州区特殊教育学校</w:t>
      </w:r>
      <w:r>
        <w:rPr>
          <w:szCs w:val="32"/>
        </w:rPr>
        <w:t>收入总表</w:t>
      </w:r>
    </w:p>
    <w:p>
      <w:pPr>
        <w:spacing w:line="600" w:lineRule="exact"/>
        <w:rPr>
          <w:szCs w:val="32"/>
        </w:rPr>
      </w:pPr>
      <w:r>
        <w:rPr>
          <w:szCs w:val="32"/>
        </w:rPr>
        <w:t>表3</w:t>
      </w:r>
      <w:r>
        <w:rPr>
          <w:rFonts w:hint="eastAsia"/>
          <w:szCs w:val="32"/>
        </w:rPr>
        <w:t>.重庆市开州区特殊教育学校本年</w:t>
      </w:r>
      <w:r>
        <w:rPr>
          <w:szCs w:val="32"/>
        </w:rPr>
        <w:t>支出</w:t>
      </w:r>
      <w:r>
        <w:rPr>
          <w:rFonts w:hint="eastAsia"/>
          <w:szCs w:val="32"/>
        </w:rPr>
        <w:t>预算总</w:t>
      </w:r>
      <w:r>
        <w:rPr>
          <w:szCs w:val="32"/>
        </w:rPr>
        <w:t>表</w:t>
      </w:r>
    </w:p>
    <w:p>
      <w:pPr>
        <w:spacing w:line="600" w:lineRule="exact"/>
        <w:rPr>
          <w:szCs w:val="32"/>
        </w:rPr>
      </w:pPr>
      <w:r>
        <w:rPr>
          <w:szCs w:val="32"/>
        </w:rPr>
        <w:t>表4</w:t>
      </w:r>
      <w:r>
        <w:rPr>
          <w:rFonts w:hint="eastAsia"/>
          <w:szCs w:val="32"/>
        </w:rPr>
        <w:t>.重庆市开州区特殊教育学校</w:t>
      </w:r>
      <w:r>
        <w:rPr>
          <w:szCs w:val="32"/>
        </w:rPr>
        <w:t>财政拨款收支</w:t>
      </w:r>
      <w:r>
        <w:rPr>
          <w:rFonts w:hint="eastAsia"/>
          <w:szCs w:val="32"/>
        </w:rPr>
        <w:t>预算总</w:t>
      </w:r>
      <w:r>
        <w:rPr>
          <w:szCs w:val="32"/>
        </w:rPr>
        <w:t>表</w:t>
      </w:r>
    </w:p>
    <w:p>
      <w:pPr>
        <w:spacing w:line="600" w:lineRule="exact"/>
        <w:rPr>
          <w:szCs w:val="32"/>
        </w:rPr>
      </w:pPr>
      <w:r>
        <w:rPr>
          <w:szCs w:val="32"/>
        </w:rPr>
        <w:t>表5</w:t>
      </w:r>
      <w:r>
        <w:rPr>
          <w:rFonts w:hint="eastAsia"/>
          <w:szCs w:val="32"/>
        </w:rPr>
        <w:t>.重庆市开州区特殊教育学校年</w:t>
      </w:r>
      <w:r>
        <w:rPr>
          <w:szCs w:val="32"/>
        </w:rPr>
        <w:t>一般公共预算支出</w:t>
      </w:r>
      <w:r>
        <w:rPr>
          <w:rFonts w:hint="eastAsia"/>
          <w:szCs w:val="32"/>
        </w:rPr>
        <w:t>预算</w:t>
      </w:r>
      <w:r>
        <w:rPr>
          <w:szCs w:val="32"/>
        </w:rPr>
        <w:t>表</w:t>
      </w:r>
    </w:p>
    <w:p>
      <w:pPr>
        <w:spacing w:line="600" w:lineRule="exact"/>
        <w:rPr>
          <w:szCs w:val="32"/>
        </w:rPr>
      </w:pPr>
      <w:r>
        <w:rPr>
          <w:szCs w:val="32"/>
        </w:rPr>
        <w:t>表6</w:t>
      </w:r>
      <w:r>
        <w:rPr>
          <w:rFonts w:hint="eastAsia"/>
          <w:szCs w:val="32"/>
        </w:rPr>
        <w:t>.重庆市开州区特殊教育学校</w:t>
      </w:r>
      <w:r>
        <w:rPr>
          <w:szCs w:val="32"/>
        </w:rPr>
        <w:t>一般公共预算基本支出</w:t>
      </w:r>
      <w:r>
        <w:rPr>
          <w:rFonts w:hint="eastAsia"/>
          <w:szCs w:val="32"/>
        </w:rPr>
        <w:t>预算</w:t>
      </w:r>
      <w:r>
        <w:rPr>
          <w:szCs w:val="32"/>
        </w:rPr>
        <w:t>表</w:t>
      </w:r>
    </w:p>
    <w:p>
      <w:pPr>
        <w:spacing w:line="600" w:lineRule="exact"/>
        <w:rPr>
          <w:szCs w:val="32"/>
        </w:rPr>
      </w:pPr>
      <w:r>
        <w:rPr>
          <w:szCs w:val="32"/>
        </w:rPr>
        <w:t>表7</w:t>
      </w:r>
      <w:r>
        <w:rPr>
          <w:rFonts w:hint="eastAsia"/>
          <w:szCs w:val="32"/>
        </w:rPr>
        <w:t>.重庆市开州区特殊教育学校</w:t>
      </w:r>
      <w:r>
        <w:rPr>
          <w:szCs w:val="32"/>
        </w:rPr>
        <w:t>一般公共预</w:t>
      </w:r>
      <w:r>
        <w:rPr>
          <w:rFonts w:hint="eastAsia"/>
          <w:szCs w:val="32"/>
        </w:rPr>
        <w:t>算“三公”经费</w:t>
      </w:r>
      <w:r>
        <w:rPr>
          <w:szCs w:val="32"/>
        </w:rPr>
        <w:t>支出</w:t>
      </w:r>
      <w:r>
        <w:rPr>
          <w:rFonts w:hint="eastAsia"/>
          <w:szCs w:val="32"/>
        </w:rPr>
        <w:t>预算</w:t>
      </w:r>
      <w:r>
        <w:rPr>
          <w:szCs w:val="32"/>
        </w:rPr>
        <w:t>表</w:t>
      </w:r>
    </w:p>
    <w:p>
      <w:pPr>
        <w:spacing w:line="600" w:lineRule="exact"/>
        <w:rPr>
          <w:szCs w:val="32"/>
        </w:rPr>
      </w:pPr>
      <w:r>
        <w:rPr>
          <w:szCs w:val="32"/>
        </w:rPr>
        <w:t>表8</w:t>
      </w:r>
      <w:r>
        <w:rPr>
          <w:rFonts w:hint="eastAsia"/>
          <w:szCs w:val="32"/>
        </w:rPr>
        <w:t>.重庆市开州区特殊教育学校</w:t>
      </w:r>
      <w:r>
        <w:rPr>
          <w:szCs w:val="32"/>
        </w:rPr>
        <w:t>政府性基金预算支出</w:t>
      </w:r>
      <w:r>
        <w:rPr>
          <w:rFonts w:hint="eastAsia"/>
          <w:szCs w:val="32"/>
        </w:rPr>
        <w:t>预算</w:t>
      </w:r>
      <w:r>
        <w:rPr>
          <w:szCs w:val="32"/>
        </w:rPr>
        <w:t>表</w:t>
      </w:r>
    </w:p>
    <w:p>
      <w:pPr>
        <w:spacing w:line="600" w:lineRule="exact"/>
        <w:rPr>
          <w:szCs w:val="32"/>
        </w:rPr>
      </w:pPr>
      <w:r>
        <w:rPr>
          <w:szCs w:val="32"/>
        </w:rPr>
        <w:t>表9</w:t>
      </w:r>
      <w:r>
        <w:rPr>
          <w:rFonts w:hint="eastAsia"/>
          <w:szCs w:val="32"/>
        </w:rPr>
        <w:t>.重庆市开州区特殊教育学校</w:t>
      </w:r>
      <w:r>
        <w:rPr>
          <w:szCs w:val="32"/>
        </w:rPr>
        <w:t>国有资本经营预算支出</w:t>
      </w:r>
      <w:r>
        <w:rPr>
          <w:rFonts w:hint="eastAsia"/>
          <w:szCs w:val="32"/>
        </w:rPr>
        <w:t>预算</w:t>
      </w:r>
      <w:r>
        <w:rPr>
          <w:szCs w:val="32"/>
        </w:rPr>
        <w:t>表</w:t>
      </w:r>
    </w:p>
    <w:p>
      <w:pPr>
        <w:spacing w:line="600" w:lineRule="exact"/>
        <w:rPr>
          <w:szCs w:val="32"/>
        </w:rPr>
      </w:pPr>
      <w:r>
        <w:rPr>
          <w:szCs w:val="32"/>
        </w:rPr>
        <w:t>表10</w:t>
      </w:r>
      <w:r>
        <w:rPr>
          <w:rFonts w:hint="eastAsia"/>
          <w:szCs w:val="32"/>
        </w:rPr>
        <w:t>.重庆市开州区特殊教育学校</w:t>
      </w:r>
      <w:r>
        <w:rPr>
          <w:szCs w:val="32"/>
        </w:rPr>
        <w:t>项目支出表</w:t>
      </w:r>
    </w:p>
    <w:p>
      <w:pPr>
        <w:spacing w:line="600" w:lineRule="exact"/>
        <w:jc w:val="center"/>
        <w:rPr>
          <w:rFonts w:eastAsia="方正小标宋_GBK"/>
          <w:sz w:val="44"/>
          <w:szCs w:val="44"/>
        </w:rPr>
      </w:pPr>
      <w:r>
        <w:rPr>
          <w:szCs w:val="32"/>
        </w:rPr>
        <w:br w:type="page"/>
      </w:r>
      <w:r>
        <w:rPr>
          <w:rFonts w:hint="eastAsia" w:eastAsia="方正小标宋_GBK"/>
          <w:sz w:val="44"/>
          <w:szCs w:val="44"/>
        </w:rPr>
        <w:t>第一部分：2024年部门预算情况说明</w:t>
      </w:r>
    </w:p>
    <w:p>
      <w:pPr>
        <w:spacing w:line="600" w:lineRule="exact"/>
        <w:ind w:firstLine="872" w:firstLineChars="200"/>
        <w:jc w:val="center"/>
        <w:rPr>
          <w:rFonts w:eastAsia="华文中宋"/>
          <w:sz w:val="44"/>
          <w:szCs w:val="44"/>
        </w:rPr>
      </w:pPr>
    </w:p>
    <w:p>
      <w:pPr>
        <w:overflowPunct w:val="0"/>
        <w:spacing w:line="600" w:lineRule="exact"/>
        <w:ind w:left="640"/>
        <w:rPr>
          <w:rFonts w:eastAsia="方正黑体_GBK"/>
        </w:rPr>
      </w:pPr>
      <w:r>
        <w:rPr>
          <w:rFonts w:eastAsia="方正黑体_GBK"/>
        </w:rPr>
        <w:t>一、单位基本情况</w:t>
      </w:r>
    </w:p>
    <w:p>
      <w:pPr>
        <w:overflowPunct w:val="0"/>
        <w:spacing w:line="600" w:lineRule="exact"/>
        <w:ind w:firstLine="632" w:firstLineChars="200"/>
        <w:rPr>
          <w:rFonts w:ascii="方正楷体_GBK" w:eastAsia="方正楷体_GBK"/>
        </w:rPr>
      </w:pPr>
      <w:r>
        <w:rPr>
          <w:rFonts w:hint="eastAsia" w:ascii="方正楷体_GBK" w:eastAsia="方正楷体_GBK"/>
        </w:rPr>
        <w:t>（一）职能职责</w:t>
      </w:r>
    </w:p>
    <w:p>
      <w:pPr>
        <w:overflowPunct w:val="0"/>
        <w:spacing w:line="600" w:lineRule="exact"/>
        <w:ind w:firstLine="632" w:firstLineChars="200"/>
      </w:pPr>
      <w:r>
        <w:rPr>
          <w:rFonts w:hint="eastAsia" w:ascii="方正仿宋_GBK" w:hAnsi="方正仿宋_GBK" w:cs="方正仿宋_GBK"/>
          <w:szCs w:val="32"/>
          <w:shd w:val="clear" w:color="auto" w:fill="FFFFFF"/>
        </w:rPr>
        <w:t>宗旨：对残疾儿童少年实施义务教育。依法对残疾儿童、少年实施义务教育，残疾学生康复训练、残疾学生劳动技能和职业教育、对普通学校特殊教育班和残疾学生随班就读的教学工作进行巡回指导、做好寄读生生活指导管理和安全工作、开展特殊教育的教学科研工作；聘任教职工，实施奖励或者处分。维护受教育者、教师及其他职工的</w:t>
      </w:r>
      <w:r>
        <w:rPr>
          <w:rFonts w:hint="eastAsia" w:ascii="方正仿宋_GBK" w:hAnsi="方正仿宋_GBK" w:cs="方正仿宋_GBK"/>
          <w:spacing w:val="-5"/>
          <w:szCs w:val="32"/>
          <w:shd w:val="clear" w:color="auto" w:fill="FFFFFF"/>
        </w:rPr>
        <w:t>合法权益。根据学校规模，设置学校管理机构，建立健全各项规章制度和岗位责任制；做好学校安全稳定工作和后勤保障服务工</w:t>
      </w:r>
      <w:r>
        <w:rPr>
          <w:rFonts w:hint="eastAsia" w:ascii="方正仿宋_GBK" w:hAnsi="方正仿宋_GBK" w:cs="方正仿宋_GBK"/>
          <w:szCs w:val="32"/>
          <w:shd w:val="clear" w:color="auto" w:fill="FFFFFF"/>
        </w:rPr>
        <w:t>作。</w:t>
      </w:r>
    </w:p>
    <w:p>
      <w:pPr>
        <w:pStyle w:val="9"/>
        <w:tabs>
          <w:tab w:val="center" w:pos="4153"/>
          <w:tab w:val="left" w:pos="7275"/>
        </w:tabs>
        <w:overflowPunct w:val="0"/>
        <w:spacing w:line="600" w:lineRule="exact"/>
        <w:ind w:left="640" w:firstLine="0" w:firstLineChars="0"/>
        <w:rPr>
          <w:rFonts w:ascii="方正楷体_GBK" w:hAnsi="Times New Roman" w:eastAsia="方正楷体_GBK"/>
        </w:rPr>
      </w:pPr>
      <w:r>
        <w:rPr>
          <w:rFonts w:hint="eastAsia" w:ascii="方正楷体_GBK" w:hAnsi="Times New Roman" w:eastAsia="方正楷体_GBK"/>
        </w:rPr>
        <w:t>（二）单位构成</w:t>
      </w:r>
    </w:p>
    <w:p>
      <w:pPr>
        <w:shd w:val="clear" w:color="auto" w:fill="FFFFFF"/>
        <w:snapToGrid w:val="0"/>
        <w:spacing w:line="560" w:lineRule="exact"/>
        <w:ind w:firstLine="632" w:firstLineChars="200"/>
        <w:rPr>
          <w:rFonts w:ascii="方正仿宋_GBK" w:hAnsi="方正仿宋_GBK" w:cs="方正仿宋_GBK"/>
          <w:szCs w:val="32"/>
          <w:shd w:val="clear" w:color="auto" w:fill="FFFFFF"/>
        </w:rPr>
      </w:pPr>
      <w:r>
        <w:rPr>
          <w:rFonts w:hint="eastAsia" w:ascii="方正仿宋_GBK" w:hAnsi="方正仿宋_GBK" w:cs="方正仿宋_GBK"/>
          <w:szCs w:val="32"/>
          <w:shd w:val="clear" w:color="auto" w:fill="FFFFFF"/>
        </w:rPr>
        <w:t>重庆市开州区特殊教育学校按开州</w:t>
      </w:r>
      <w:r>
        <w:rPr>
          <w:rFonts w:hint="eastAsia" w:ascii="方正仿宋_GBK" w:hAnsi="方正仿宋_GBK" w:cs="方正仿宋_GBK"/>
          <w:color w:val="000000"/>
          <w:kern w:val="0"/>
          <w:szCs w:val="32"/>
        </w:rPr>
        <w:t>编</w:t>
      </w:r>
      <w:r>
        <w:rPr>
          <w:rFonts w:hint="eastAsia" w:ascii="方正仿宋_GBK" w:hAnsi="方正仿宋_GBK" w:cs="方正仿宋_GBK"/>
          <w:szCs w:val="32"/>
          <w:shd w:val="clear" w:color="auto" w:fill="FFFFFF"/>
        </w:rPr>
        <w:t>委发[2016]67号文件</w:t>
      </w:r>
      <w:r>
        <w:rPr>
          <w:rFonts w:hint="eastAsia" w:ascii="方正仿宋_GBK" w:hAnsi="方正仿宋_GBK" w:cs="方正仿宋_GBK"/>
          <w:kern w:val="0"/>
          <w:szCs w:val="32"/>
          <w:shd w:val="clear" w:color="auto" w:fill="FFFFFF"/>
        </w:rPr>
        <w:t>内设4个职能处室，分别为教导处、总务处、政教处、安稳办</w:t>
      </w:r>
      <w:r>
        <w:rPr>
          <w:rFonts w:hint="eastAsia" w:ascii="方正仿宋_GBK" w:hAnsi="方正仿宋_GBK" w:cs="方正仿宋_GBK"/>
          <w:szCs w:val="32"/>
          <w:shd w:val="clear" w:color="auto" w:fill="FFFFFF"/>
        </w:rPr>
        <w:t>。</w:t>
      </w:r>
    </w:p>
    <w:p>
      <w:pPr>
        <w:shd w:val="clear" w:color="auto" w:fill="FFFFFF"/>
        <w:snapToGrid w:val="0"/>
        <w:spacing w:line="560" w:lineRule="exact"/>
        <w:ind w:firstLine="632" w:firstLineChars="200"/>
        <w:rPr>
          <w:rFonts w:ascii="方正仿宋_GBK" w:hAnsi="方正仿宋_GBK" w:cs="方正仿宋_GBK"/>
          <w:szCs w:val="32"/>
          <w:shd w:val="clear" w:color="auto" w:fill="FFFFFF"/>
        </w:rPr>
      </w:pPr>
      <w:r>
        <w:rPr>
          <w:rFonts w:hint="eastAsia" w:ascii="方正仿宋_GBK" w:hAnsi="方正仿宋_GBK" w:cs="方正仿宋_GBK"/>
          <w:szCs w:val="32"/>
          <w:shd w:val="clear" w:color="auto" w:fill="FFFFFF"/>
        </w:rPr>
        <w:t>本单位无下级预算单位。</w:t>
      </w:r>
    </w:p>
    <w:p>
      <w:pPr>
        <w:overflowPunct w:val="0"/>
        <w:spacing w:line="600" w:lineRule="exact"/>
        <w:ind w:left="640"/>
      </w:pPr>
      <w:r>
        <w:rPr>
          <w:rFonts w:eastAsia="方正黑体_GBK"/>
        </w:rPr>
        <w:t>二、部门收支总体情况</w:t>
      </w:r>
    </w:p>
    <w:p>
      <w:pPr>
        <w:overflowPunct w:val="0"/>
        <w:spacing w:line="600" w:lineRule="exact"/>
        <w:ind w:firstLine="632" w:firstLineChars="200"/>
      </w:pPr>
      <w:r>
        <w:rPr>
          <w:rFonts w:hint="eastAsia" w:ascii="方正楷体_GBK" w:eastAsia="方正楷体_GBK"/>
        </w:rPr>
        <w:t>（一）收入预算：</w:t>
      </w:r>
      <w:r>
        <w:t>2024年年初预算数</w:t>
      </w:r>
      <w:r>
        <w:rPr>
          <w:rFonts w:hint="eastAsia"/>
        </w:rPr>
        <w:t>1502.22</w:t>
      </w:r>
      <w:r>
        <w:t xml:space="preserve"> 万元</w:t>
      </w:r>
      <w:r>
        <w:rPr>
          <w:rFonts w:hint="eastAsia"/>
        </w:rPr>
        <w:t>（含上年结转135万元）</w:t>
      </w:r>
      <w:r>
        <w:t xml:space="preserve">，其中：一般公共预算拨款 </w:t>
      </w:r>
      <w:r>
        <w:rPr>
          <w:rFonts w:hint="eastAsia"/>
        </w:rPr>
        <w:t>1502.22</w:t>
      </w:r>
      <w:r>
        <w:t>万元</w:t>
      </w:r>
      <w:r>
        <w:rPr>
          <w:rFonts w:hint="eastAsia"/>
        </w:rPr>
        <w:t>（含上年结转135万元）。</w:t>
      </w:r>
      <w:r>
        <w:t>收入较2023年</w:t>
      </w:r>
      <w:r>
        <w:rPr>
          <w:rFonts w:hint="eastAsia"/>
        </w:rPr>
        <w:t>增加128.66</w:t>
      </w:r>
      <w:r>
        <w:t xml:space="preserve"> 万元，主要是</w:t>
      </w:r>
      <w:r>
        <w:rPr>
          <w:rFonts w:hint="eastAsia" w:ascii="方正仿宋_GBK"/>
        </w:rPr>
        <w:t>教育</w:t>
      </w:r>
      <w:r>
        <w:t>经费拨款增加</w:t>
      </w:r>
      <w:r>
        <w:rPr>
          <w:rFonts w:hint="eastAsia"/>
        </w:rPr>
        <w:t>133.42</w:t>
      </w:r>
      <w:r>
        <w:t xml:space="preserve"> 万元</w:t>
      </w:r>
      <w:r>
        <w:rPr>
          <w:rFonts w:hint="eastAsia"/>
        </w:rPr>
        <w:t>，社会保障和就业支出增加1.96万元，卫生健康支出减少4.26，住房保障支出减少2.47</w:t>
      </w:r>
      <w:r>
        <w:t>。</w:t>
      </w:r>
    </w:p>
    <w:p>
      <w:pPr>
        <w:overflowPunct w:val="0"/>
        <w:spacing w:line="600" w:lineRule="exact"/>
        <w:ind w:firstLine="632" w:firstLineChars="200"/>
      </w:pPr>
      <w:r>
        <w:rPr>
          <w:rFonts w:hint="eastAsia" w:ascii="方正楷体_GBK" w:eastAsia="方正楷体_GBK"/>
        </w:rPr>
        <w:t>（二）支出预算：</w:t>
      </w:r>
      <w:r>
        <w:t>2024年年初预算数</w:t>
      </w:r>
      <w:r>
        <w:rPr>
          <w:rFonts w:hint="eastAsia"/>
        </w:rPr>
        <w:t>1502.22</w:t>
      </w:r>
      <w:r>
        <w:t xml:space="preserve"> 万元，其中：教育支出预算</w:t>
      </w:r>
      <w:r>
        <w:rPr>
          <w:rFonts w:hint="eastAsia"/>
        </w:rPr>
        <w:t>1167.28</w:t>
      </w:r>
      <w:r>
        <w:t xml:space="preserve"> 万元，社会保障和就业支出预算</w:t>
      </w:r>
      <w:r>
        <w:rPr>
          <w:rFonts w:hint="eastAsia"/>
        </w:rPr>
        <w:t>208.48</w:t>
      </w:r>
      <w:r>
        <w:t xml:space="preserve"> 万元，卫生健康支出预算</w:t>
      </w:r>
      <w:r>
        <w:rPr>
          <w:rFonts w:hint="eastAsia"/>
        </w:rPr>
        <w:t>65.92</w:t>
      </w:r>
      <w:r>
        <w:t xml:space="preserve"> 万元，住房保障支出预算</w:t>
      </w:r>
      <w:r>
        <w:rPr>
          <w:rFonts w:hint="eastAsia"/>
        </w:rPr>
        <w:t>60.54</w:t>
      </w:r>
      <w:r>
        <w:t xml:space="preserve"> 万元。支出预算较</w:t>
      </w:r>
      <w:r>
        <w:rPr>
          <w:rFonts w:hint="eastAsia"/>
        </w:rPr>
        <w:t>202</w:t>
      </w:r>
      <w:r>
        <w:t>3年增加</w:t>
      </w:r>
      <w:r>
        <w:rPr>
          <w:rFonts w:hint="eastAsia"/>
        </w:rPr>
        <w:t>128.66</w:t>
      </w:r>
      <w:r>
        <w:t xml:space="preserve"> 万元，主要是基本支出预算</w:t>
      </w:r>
      <w:r>
        <w:rPr>
          <w:rFonts w:hint="eastAsia"/>
        </w:rPr>
        <w:t>减少33.55</w:t>
      </w:r>
      <w:r>
        <w:t xml:space="preserve"> 万元，项目支出预算增加 </w:t>
      </w:r>
      <w:r>
        <w:rPr>
          <w:rFonts w:hint="eastAsia"/>
        </w:rPr>
        <w:t>162.21</w:t>
      </w:r>
      <w:r>
        <w:t>万元。</w:t>
      </w:r>
    </w:p>
    <w:p>
      <w:pPr>
        <w:overflowPunct w:val="0"/>
        <w:spacing w:line="600" w:lineRule="exact"/>
        <w:ind w:left="640"/>
        <w:rPr>
          <w:rFonts w:eastAsia="方正黑体_GBK"/>
        </w:rPr>
      </w:pPr>
      <w:r>
        <w:rPr>
          <w:rFonts w:eastAsia="方正黑体_GBK"/>
        </w:rPr>
        <w:t>三、部门预算情况说明</w:t>
      </w:r>
    </w:p>
    <w:p>
      <w:pPr>
        <w:overflowPunct w:val="0"/>
        <w:spacing w:line="600" w:lineRule="exact"/>
        <w:ind w:firstLine="632" w:firstLineChars="200"/>
      </w:pPr>
      <w:r>
        <w:t xml:space="preserve">2024年一般公共预算财政拨款收入 </w:t>
      </w:r>
      <w:r>
        <w:rPr>
          <w:rFonts w:hint="eastAsia"/>
        </w:rPr>
        <w:t>1502.22</w:t>
      </w:r>
      <w:r>
        <w:t xml:space="preserve"> 万元，一般公共预算财政拨款支出 </w:t>
      </w:r>
      <w:r>
        <w:rPr>
          <w:rFonts w:hint="eastAsia"/>
        </w:rPr>
        <w:t>1502.22</w:t>
      </w:r>
      <w:r>
        <w:t xml:space="preserve"> 万元，比2023年增加</w:t>
      </w:r>
      <w:r>
        <w:rPr>
          <w:rFonts w:hint="eastAsia"/>
        </w:rPr>
        <w:t>128.66</w:t>
      </w:r>
      <w:r>
        <w:t xml:space="preserve"> 万元。其中：基本支出 </w:t>
      </w:r>
      <w:r>
        <w:rPr>
          <w:rFonts w:hint="eastAsia"/>
        </w:rPr>
        <w:t>1188.98</w:t>
      </w:r>
      <w:r>
        <w:t xml:space="preserve"> 万元，比2023年减少</w:t>
      </w:r>
      <w:r>
        <w:rPr>
          <w:rFonts w:hint="eastAsia"/>
        </w:rPr>
        <w:t>33.55</w:t>
      </w:r>
      <w:r>
        <w:t>万元，主要原因</w:t>
      </w:r>
      <w:r>
        <w:rPr>
          <w:rFonts w:hint="eastAsia"/>
        </w:rPr>
        <w:t>人员经费减少20.9万元，公用经费减少12.65万元。</w:t>
      </w:r>
      <w:r>
        <w:t xml:space="preserve">主要用于保障在职人员工资福利及社会保险缴费，离休人员离休费，退休人员补助等，保障部门正常运转的各项商品服务支出；项目支出 </w:t>
      </w:r>
      <w:r>
        <w:rPr>
          <w:rFonts w:hint="eastAsia"/>
        </w:rPr>
        <w:t>313.24</w:t>
      </w:r>
      <w:r>
        <w:t xml:space="preserve">  万元，比2023年增加</w:t>
      </w:r>
      <w:r>
        <w:rPr>
          <w:rFonts w:hint="eastAsia"/>
        </w:rPr>
        <w:t>162.21</w:t>
      </w:r>
      <w:r>
        <w:t>万元，主要原因是</w:t>
      </w:r>
      <w:r>
        <w:rPr>
          <w:rFonts w:hint="eastAsia" w:ascii="方正仿宋_GBK"/>
        </w:rPr>
        <w:t>用于学校旧运动场整修26万元，购买多媒体教学系统46万元，学校院坝排危整修27万元，校舍维修维护35万元，校园保安服务费5.79万元，义务教育贫困生家庭生活补助10.45万元教学楼综合楼瓷砖墙排危40万元，职业高中部功能室建设设备采购及室外LED显示屏122万元，</w:t>
      </w:r>
      <w:r>
        <w:t>等，主要用于</w:t>
      </w:r>
      <w:r>
        <w:rPr>
          <w:rFonts w:hint="eastAsia" w:ascii="方正仿宋_GBK"/>
        </w:rPr>
        <w:t>及旧运动场整修、院坝排危整修、购买多媒体系统、校舍维修、职业高中部功能室建设设备采购及室外LED显示屏、义务教育贫困生家庭生活补助</w:t>
      </w:r>
      <w:r>
        <w:t>等重点工作。</w:t>
      </w:r>
    </w:p>
    <w:p>
      <w:pPr>
        <w:overflowPunct w:val="0"/>
        <w:spacing w:line="600" w:lineRule="exact"/>
        <w:ind w:firstLine="632" w:firstLineChars="200"/>
      </w:pPr>
      <w:r>
        <w:rPr>
          <w:rFonts w:hint="eastAsia"/>
        </w:rPr>
        <w:t>开州区特殊教育学校</w:t>
      </w:r>
      <w:r>
        <w:t>2024年无使用政府性基金预算拨款安排的支出</w:t>
      </w:r>
      <w:r>
        <w:rPr>
          <w:rFonts w:hint="eastAsia"/>
        </w:rPr>
        <w:t>。</w:t>
      </w:r>
    </w:p>
    <w:p>
      <w:pPr>
        <w:overflowPunct w:val="0"/>
        <w:spacing w:line="600" w:lineRule="exact"/>
        <w:ind w:left="640"/>
      </w:pPr>
      <w:r>
        <w:rPr>
          <w:rFonts w:eastAsia="方正黑体_GBK"/>
        </w:rPr>
        <w:t>四、</w:t>
      </w:r>
      <w:r>
        <w:rPr>
          <w:rFonts w:hint="eastAsia" w:ascii="方正黑体_GBK" w:eastAsia="方正黑体_GBK"/>
        </w:rPr>
        <w:t>“三公”经</w:t>
      </w:r>
      <w:r>
        <w:rPr>
          <w:rFonts w:eastAsia="方正黑体_GBK"/>
        </w:rPr>
        <w:t>费情况说明</w:t>
      </w:r>
    </w:p>
    <w:p>
      <w:pPr>
        <w:overflowPunct w:val="0"/>
        <w:spacing w:line="600" w:lineRule="exact"/>
        <w:ind w:firstLine="632" w:firstLineChars="200"/>
      </w:pPr>
      <w:r>
        <w:rPr>
          <w:rFonts w:hint="eastAsia"/>
        </w:rPr>
        <w:t>开州区特殊教育学校</w:t>
      </w:r>
      <w:r>
        <w:t>2024年无使用</w:t>
      </w:r>
      <w:r>
        <w:rPr>
          <w:rFonts w:hint="eastAsia"/>
        </w:rPr>
        <w:t>“三公”经费</w:t>
      </w:r>
      <w:r>
        <w:t>预算拨款安排的支出</w:t>
      </w:r>
      <w:r>
        <w:rPr>
          <w:rFonts w:hint="eastAsia"/>
        </w:rPr>
        <w:t>。</w:t>
      </w:r>
    </w:p>
    <w:p>
      <w:pPr>
        <w:overflowPunct w:val="0"/>
        <w:spacing w:line="600" w:lineRule="exact"/>
        <w:ind w:left="640"/>
        <w:rPr>
          <w:rFonts w:eastAsia="方正黑体_GBK"/>
        </w:rPr>
      </w:pPr>
      <w:r>
        <w:rPr>
          <w:rFonts w:eastAsia="方正黑体_GBK"/>
        </w:rPr>
        <w:t>五、其他重要事项的情况说明</w:t>
      </w:r>
    </w:p>
    <w:p>
      <w:pPr>
        <w:overflowPunct w:val="0"/>
        <w:spacing w:line="600" w:lineRule="exact"/>
        <w:ind w:firstLine="632" w:firstLineChars="200"/>
      </w:pPr>
      <w:r>
        <w:t>1</w:t>
      </w:r>
      <w:r>
        <w:rPr>
          <w:rFonts w:hint="eastAsia"/>
        </w:rPr>
        <w:t>.</w:t>
      </w:r>
      <w:r>
        <w:t>我单位不在机关运行经费统计范围之内。</w:t>
      </w:r>
    </w:p>
    <w:p>
      <w:pPr>
        <w:overflowPunct w:val="0"/>
        <w:spacing w:line="600" w:lineRule="exact"/>
        <w:ind w:firstLine="632" w:firstLineChars="200"/>
      </w:pPr>
      <w:r>
        <w:rPr>
          <w:b/>
        </w:rPr>
        <w:t>2</w:t>
      </w:r>
      <w:r>
        <w:rPr>
          <w:rFonts w:hint="eastAsia"/>
          <w:b/>
        </w:rPr>
        <w:t>.</w:t>
      </w:r>
      <w:r>
        <w:rPr>
          <w:b/>
        </w:rPr>
        <w:t>政府采购情况。</w:t>
      </w:r>
      <w:r>
        <w:t>我校无政府采购预算安排的资金。</w:t>
      </w:r>
    </w:p>
    <w:p>
      <w:pPr>
        <w:overflowPunct w:val="0"/>
        <w:spacing w:line="600" w:lineRule="exact"/>
        <w:ind w:firstLine="632" w:firstLineChars="200"/>
        <w:rPr>
          <w:rFonts w:hint="eastAsia"/>
          <w:color w:val="000000"/>
        </w:rPr>
      </w:pPr>
      <w:r>
        <w:rPr>
          <w:b/>
        </w:rPr>
        <w:t>3</w:t>
      </w:r>
      <w:r>
        <w:rPr>
          <w:rFonts w:hint="eastAsia"/>
          <w:b/>
        </w:rPr>
        <w:t>.</w:t>
      </w:r>
      <w:r>
        <w:rPr>
          <w:b/>
        </w:rPr>
        <w:t>绩效目标设置情况。</w:t>
      </w:r>
      <w:r>
        <w:rPr>
          <w:color w:val="000000"/>
        </w:rPr>
        <w:t>2024年项目支出均实行了绩效目标管理，涉及一般公共预算当年财政拨款</w:t>
      </w:r>
      <w:r>
        <w:rPr>
          <w:rFonts w:hint="eastAsia"/>
          <w:color w:val="000000"/>
        </w:rPr>
        <w:t>178.24</w:t>
      </w:r>
      <w:r>
        <w:rPr>
          <w:color w:val="000000"/>
        </w:rPr>
        <w:t>万元。</w:t>
      </w:r>
    </w:p>
    <w:p>
      <w:pPr>
        <w:overflowPunct w:val="0"/>
        <w:spacing w:line="600" w:lineRule="exact"/>
        <w:ind w:firstLine="632" w:firstLineChars="200"/>
        <w:rPr>
          <w:color w:val="000000"/>
        </w:rPr>
      </w:pPr>
      <w:r>
        <w:rPr>
          <w:b/>
          <w:color w:val="000000"/>
        </w:rPr>
        <w:t>4</w:t>
      </w:r>
      <w:r>
        <w:rPr>
          <w:rFonts w:hint="eastAsia"/>
          <w:b/>
          <w:color w:val="000000"/>
        </w:rPr>
        <w:t>．国有资产占有使用情况。</w:t>
      </w:r>
      <w:r>
        <w:rPr>
          <w:rFonts w:hint="eastAsia"/>
          <w:color w:val="000000"/>
          <w:lang w:eastAsia="zh-CN"/>
        </w:rPr>
        <w:t>截至</w:t>
      </w:r>
      <w:r>
        <w:rPr>
          <w:color w:val="000000"/>
        </w:rPr>
        <w:t>2023</w:t>
      </w:r>
      <w:r>
        <w:rPr>
          <w:rFonts w:hint="eastAsia"/>
          <w:color w:val="000000"/>
        </w:rPr>
        <w:t>年</w:t>
      </w:r>
      <w:r>
        <w:rPr>
          <w:color w:val="000000"/>
        </w:rPr>
        <w:t>12</w:t>
      </w:r>
      <w:r>
        <w:rPr>
          <w:rFonts w:hint="eastAsia"/>
          <w:color w:val="000000"/>
        </w:rPr>
        <w:t>月，所属各预算单位共有车辆</w:t>
      </w:r>
      <w:r>
        <w:rPr>
          <w:color w:val="000000"/>
        </w:rPr>
        <w:t>0</w:t>
      </w:r>
      <w:r>
        <w:rPr>
          <w:rFonts w:hint="eastAsia"/>
          <w:color w:val="000000"/>
        </w:rPr>
        <w:t>辆，其中一般公务用车</w:t>
      </w:r>
      <w:r>
        <w:rPr>
          <w:color w:val="000000"/>
        </w:rPr>
        <w:t>0</w:t>
      </w:r>
      <w:r>
        <w:rPr>
          <w:rFonts w:hint="eastAsia"/>
          <w:color w:val="000000"/>
        </w:rPr>
        <w:t>辆、执勤执法用车</w:t>
      </w:r>
      <w:r>
        <w:rPr>
          <w:color w:val="000000"/>
        </w:rPr>
        <w:t>0</w:t>
      </w:r>
      <w:r>
        <w:rPr>
          <w:rFonts w:hint="eastAsia"/>
          <w:color w:val="000000"/>
        </w:rPr>
        <w:t>辆。</w:t>
      </w:r>
    </w:p>
    <w:p>
      <w:pPr>
        <w:overflowPunct w:val="0"/>
        <w:spacing w:line="600" w:lineRule="exact"/>
        <w:ind w:firstLine="632" w:firstLineChars="200"/>
        <w:rPr>
          <w:szCs w:val="32"/>
        </w:rPr>
      </w:pPr>
      <w:r>
        <w:rPr>
          <w:rFonts w:eastAsia="方正黑体_GBK"/>
        </w:rPr>
        <w:t>六、专业性名词解释</w:t>
      </w:r>
    </w:p>
    <w:p>
      <w:pPr>
        <w:pStyle w:val="9"/>
        <w:tabs>
          <w:tab w:val="center" w:pos="4153"/>
          <w:tab w:val="left" w:pos="7275"/>
        </w:tabs>
        <w:overflowPunct w:val="0"/>
        <w:spacing w:line="600" w:lineRule="exact"/>
        <w:ind w:firstLine="632"/>
        <w:rPr>
          <w:rFonts w:ascii="Times New Roman" w:hAnsi="Times New Roman"/>
          <w:szCs w:val="32"/>
        </w:rPr>
      </w:pPr>
      <w:r>
        <w:rPr>
          <w:rFonts w:hint="eastAsia" w:ascii="方正楷体_GBK" w:hAnsi="Times New Roman" w:eastAsia="方正楷体_GBK"/>
          <w:szCs w:val="32"/>
        </w:rPr>
        <w:t>（一）财政拨款收入：</w:t>
      </w:r>
      <w:r>
        <w:rPr>
          <w:rFonts w:ascii="Times New Roman" w:hAnsi="Times New Roman"/>
          <w:szCs w:val="32"/>
        </w:rPr>
        <w:t>指本年度从本级财政部门取得的财政拨款，包括一般公共预算财政拨款和政府性基金预算财政拨款。</w:t>
      </w:r>
    </w:p>
    <w:p>
      <w:pPr>
        <w:pStyle w:val="9"/>
        <w:tabs>
          <w:tab w:val="center" w:pos="4153"/>
          <w:tab w:val="left" w:pos="7275"/>
        </w:tabs>
        <w:overflowPunct w:val="0"/>
        <w:spacing w:line="600" w:lineRule="exact"/>
        <w:ind w:firstLine="632"/>
        <w:rPr>
          <w:rFonts w:ascii="方正仿宋_GBK" w:hAnsi="Times New Roman"/>
          <w:szCs w:val="32"/>
        </w:rPr>
      </w:pPr>
      <w:r>
        <w:rPr>
          <w:rFonts w:hint="eastAsia" w:ascii="方正楷体_GBK" w:hAnsi="Times New Roman" w:eastAsia="方正楷体_GBK"/>
          <w:szCs w:val="32"/>
        </w:rPr>
        <w:t>（二）其他收入：</w:t>
      </w:r>
      <w:r>
        <w:rPr>
          <w:rFonts w:ascii="Times New Roman" w:hAnsi="Times New Roman"/>
          <w:szCs w:val="32"/>
        </w:rPr>
        <w:t>指单位取</w:t>
      </w:r>
      <w:r>
        <w:rPr>
          <w:rFonts w:hint="eastAsia" w:ascii="方正仿宋_GBK" w:hAnsi="Times New Roman"/>
          <w:szCs w:val="32"/>
        </w:rPr>
        <w:t>得的除“财政拨款收入”、“事业收入”、“经营收入”等以外的收入。</w:t>
      </w:r>
    </w:p>
    <w:p>
      <w:pPr>
        <w:pStyle w:val="9"/>
        <w:tabs>
          <w:tab w:val="center" w:pos="4153"/>
          <w:tab w:val="left" w:pos="7275"/>
        </w:tabs>
        <w:overflowPunct w:val="0"/>
        <w:spacing w:line="600" w:lineRule="exact"/>
        <w:ind w:firstLine="632"/>
        <w:rPr>
          <w:rFonts w:ascii="Times New Roman" w:hAnsi="Times New Roman"/>
          <w:szCs w:val="32"/>
        </w:rPr>
      </w:pPr>
      <w:r>
        <w:rPr>
          <w:rFonts w:hint="eastAsia" w:ascii="方正楷体_GBK" w:hAnsi="Times New Roman" w:eastAsia="方正楷体_GBK"/>
          <w:szCs w:val="32"/>
        </w:rPr>
        <w:t>（三）基本支出：</w:t>
      </w:r>
      <w:r>
        <w:rPr>
          <w:rFonts w:ascii="Times New Roman" w:hAnsi="Times New Roman"/>
          <w:szCs w:val="32"/>
        </w:rPr>
        <w:t>指为保障机构正常运转、完成日常工作任务而发生的人员经费和公用经费。</w:t>
      </w:r>
    </w:p>
    <w:p>
      <w:pPr>
        <w:pStyle w:val="9"/>
        <w:tabs>
          <w:tab w:val="center" w:pos="4153"/>
          <w:tab w:val="left" w:pos="7275"/>
        </w:tabs>
        <w:overflowPunct w:val="0"/>
        <w:spacing w:line="600" w:lineRule="exact"/>
        <w:ind w:firstLine="632"/>
        <w:rPr>
          <w:rFonts w:ascii="Times New Roman" w:hAnsi="Times New Roman"/>
          <w:szCs w:val="32"/>
        </w:rPr>
      </w:pPr>
      <w:r>
        <w:rPr>
          <w:rFonts w:hint="eastAsia" w:ascii="方正楷体_GBK" w:hAnsi="Times New Roman" w:eastAsia="方正楷体_GBK"/>
          <w:szCs w:val="32"/>
        </w:rPr>
        <w:t>（四）项目支出：</w:t>
      </w:r>
      <w:r>
        <w:rPr>
          <w:rFonts w:ascii="Times New Roman" w:hAnsi="Times New Roman"/>
          <w:szCs w:val="32"/>
        </w:rPr>
        <w:t>指在基本支出之外为完成特定行政任务和事业发展目标所发生的支出。</w:t>
      </w:r>
    </w:p>
    <w:p>
      <w:pPr>
        <w:overflowPunct w:val="0"/>
        <w:spacing w:line="600" w:lineRule="exact"/>
        <w:ind w:firstLine="632" w:firstLineChars="200"/>
        <w:rPr>
          <w:rFonts w:eastAsia="方正小标宋_GBK"/>
          <w:sz w:val="44"/>
          <w:szCs w:val="44"/>
        </w:rPr>
      </w:pPr>
      <w:r>
        <w:rPr>
          <w:rFonts w:hint="eastAsia" w:ascii="方正楷体_GBK" w:eastAsia="方正楷体_GBK"/>
          <w:szCs w:val="32"/>
        </w:rPr>
        <w:t>（五）“三公”经费：</w:t>
      </w:r>
      <w:r>
        <w:rPr>
          <w:rFonts w:hint="eastAsia" w:ascii="方正仿宋_GBK"/>
          <w:szCs w:val="32"/>
        </w:rPr>
        <w:t>指用一</w:t>
      </w:r>
      <w:r>
        <w:rPr>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72" w:firstLineChars="200"/>
        <w:rPr>
          <w:rFonts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600" w:lineRule="exact"/>
        <w:ind w:firstLine="632" w:firstLineChars="200"/>
        <w:rPr>
          <w:rFonts w:eastAsia="方正黑体_GBK"/>
        </w:rPr>
      </w:pPr>
    </w:p>
    <w:p>
      <w:pPr>
        <w:spacing w:line="600" w:lineRule="exact"/>
        <w:ind w:firstLine="632" w:firstLineChars="200"/>
        <w:rPr>
          <w:rFonts w:eastAsia="方正黑体_GBK"/>
        </w:rPr>
      </w:pPr>
      <w:r>
        <w:rPr>
          <w:rFonts w:hint="eastAsia" w:eastAsia="方正黑体_GBK"/>
        </w:rPr>
        <w:t>2024年部门预算公开报表（详见附表</w:t>
      </w:r>
      <w:r>
        <w:rPr>
          <w:rFonts w:hint="eastAsia"/>
          <w:szCs w:val="32"/>
        </w:rPr>
        <w:t>重庆市开州区特殊教育学校</w:t>
      </w:r>
      <w:r>
        <w:rPr>
          <w:rFonts w:eastAsia="方正黑体_GBK"/>
        </w:rPr>
        <w:t>2024年部门预算公开报表</w:t>
      </w:r>
      <w:r>
        <w:rPr>
          <w:rFonts w:hint="eastAsia" w:eastAsia="方正黑体_GBK"/>
        </w:rPr>
        <w:t>）</w:t>
      </w:r>
    </w:p>
    <w:p>
      <w:pPr>
        <w:spacing w:line="600" w:lineRule="exact"/>
        <w:rPr>
          <w:b/>
          <w:color w:val="FF0000"/>
        </w:rPr>
      </w:pPr>
      <w:r>
        <w:rPr>
          <w:b/>
        </w:rPr>
        <w:t>部门预算公开联系人：</w:t>
      </w:r>
      <w:r>
        <w:rPr>
          <w:rFonts w:hint="eastAsia"/>
          <w:b/>
        </w:rPr>
        <w:t>赵红杰</w:t>
      </w:r>
      <w:r>
        <w:rPr>
          <w:b/>
        </w:rPr>
        <w:t xml:space="preserve">  联系方式：023-</w:t>
      </w:r>
      <w:r>
        <w:rPr>
          <w:rFonts w:hint="eastAsia"/>
          <w:b/>
        </w:rPr>
        <w:t>52809601</w:t>
      </w:r>
    </w:p>
    <w:p>
      <w:pPr>
        <w:spacing w:line="600" w:lineRule="exact"/>
        <w:rPr>
          <w:b/>
          <w:color w:val="FF0000"/>
        </w:rPr>
      </w:pPr>
    </w:p>
    <w:p>
      <w:pPr>
        <w:spacing w:line="600" w:lineRule="exact"/>
        <w:rPr>
          <w:b/>
          <w:color w:val="FF0000"/>
        </w:rPr>
      </w:pPr>
    </w:p>
    <w:p>
      <w:pPr>
        <w:spacing w:line="600" w:lineRule="exact"/>
        <w:rPr>
          <w:b/>
          <w:color w:val="FF0000"/>
        </w:rPr>
      </w:pPr>
    </w:p>
    <w:p>
      <w:pPr>
        <w:spacing w:line="600" w:lineRule="exact"/>
        <w:rPr>
          <w:b/>
          <w:color w:val="FF0000"/>
        </w:rPr>
      </w:pPr>
    </w:p>
    <w:p>
      <w:pPr>
        <w:spacing w:line="600" w:lineRule="exact"/>
        <w:rPr>
          <w:b/>
          <w:color w:val="FF0000"/>
        </w:rPr>
      </w:pPr>
    </w:p>
    <w:p>
      <w:pPr>
        <w:overflowPunct w:val="0"/>
        <w:spacing w:line="600" w:lineRule="exact"/>
        <w:ind w:firstLine="632" w:firstLineChars="200"/>
        <w:jc w:val="right"/>
        <w:rPr>
          <w:szCs w:val="32"/>
        </w:rPr>
      </w:pPr>
      <w:r>
        <w:rPr>
          <w:rFonts w:hint="eastAsia"/>
          <w:szCs w:val="32"/>
        </w:rPr>
        <w:t>重庆市开州区特殊教育学校</w:t>
      </w:r>
    </w:p>
    <w:p>
      <w:pPr>
        <w:overflowPunct w:val="0"/>
        <w:spacing w:line="600" w:lineRule="exact"/>
        <w:ind w:firstLine="632" w:firstLineChars="200"/>
        <w:jc w:val="center"/>
        <w:rPr>
          <w:szCs w:val="32"/>
        </w:rPr>
      </w:pPr>
      <w:r>
        <w:rPr>
          <w:rFonts w:hint="eastAsia"/>
          <w:szCs w:val="32"/>
        </w:rPr>
        <w:t xml:space="preserve">                          2024年3月21日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ind w:right="1264" w:rightChars="400" w:firstLine="632" w:firstLineChars="200"/>
        <w:jc w:val="right"/>
      </w:pPr>
    </w:p>
    <w:p>
      <w:pPr>
        <w:pBdr>
          <w:top w:val="single" w:color="auto" w:sz="4" w:space="1"/>
          <w:bottom w:val="single" w:color="auto" w:sz="8" w:space="1"/>
        </w:pBdr>
        <w:tabs>
          <w:tab w:val="right" w:pos="8844"/>
        </w:tabs>
        <w:ind w:firstLine="276" w:firstLineChars="100"/>
      </w:pPr>
      <w:r>
        <w:rPr>
          <w:rFonts w:hint="eastAsia"/>
          <w:sz w:val="28"/>
          <w:szCs w:val="28"/>
        </w:rPr>
        <w:t>重庆市开州区特殊教育</w:t>
      </w:r>
      <w:r>
        <w:rPr>
          <w:sz w:val="28"/>
          <w:szCs w:val="28"/>
        </w:rPr>
        <w:t>学校</w:t>
      </w:r>
      <w:r>
        <w:rPr>
          <w:rFonts w:hint="eastAsia"/>
          <w:sz w:val="28"/>
          <w:szCs w:val="28"/>
        </w:rPr>
        <w:t xml:space="preserve">                    2024年3月21日印发</w:t>
      </w:r>
    </w:p>
    <w:sectPr>
      <w:footerReference r:id="rId3" w:type="even"/>
      <w:pgSz w:w="11906" w:h="16838"/>
      <w:pgMar w:top="1418" w:right="1191" w:bottom="1418" w:left="1304" w:header="851" w:footer="147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6"/>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EE0E12"/>
    <w:rsid w:val="000A4E01"/>
    <w:rsid w:val="000C05C2"/>
    <w:rsid w:val="000C0645"/>
    <w:rsid w:val="000E0E3B"/>
    <w:rsid w:val="00155407"/>
    <w:rsid w:val="001650F6"/>
    <w:rsid w:val="00184151"/>
    <w:rsid w:val="00285DCC"/>
    <w:rsid w:val="00295371"/>
    <w:rsid w:val="002E1086"/>
    <w:rsid w:val="00305CA0"/>
    <w:rsid w:val="00320D85"/>
    <w:rsid w:val="00353C60"/>
    <w:rsid w:val="00365EAB"/>
    <w:rsid w:val="0037052A"/>
    <w:rsid w:val="003A74D0"/>
    <w:rsid w:val="003D6980"/>
    <w:rsid w:val="0041612B"/>
    <w:rsid w:val="004B5507"/>
    <w:rsid w:val="00502F39"/>
    <w:rsid w:val="005322F3"/>
    <w:rsid w:val="0059579D"/>
    <w:rsid w:val="005C003F"/>
    <w:rsid w:val="005C09C3"/>
    <w:rsid w:val="005E1053"/>
    <w:rsid w:val="00621231"/>
    <w:rsid w:val="006A4FCF"/>
    <w:rsid w:val="00711594"/>
    <w:rsid w:val="007B07FE"/>
    <w:rsid w:val="007D2EEB"/>
    <w:rsid w:val="0085129F"/>
    <w:rsid w:val="008A7595"/>
    <w:rsid w:val="008C5036"/>
    <w:rsid w:val="008D62C7"/>
    <w:rsid w:val="00930419"/>
    <w:rsid w:val="00976096"/>
    <w:rsid w:val="009C45FC"/>
    <w:rsid w:val="009C52C6"/>
    <w:rsid w:val="009D13B0"/>
    <w:rsid w:val="009F04AB"/>
    <w:rsid w:val="00A14AD8"/>
    <w:rsid w:val="00A17680"/>
    <w:rsid w:val="00A246DF"/>
    <w:rsid w:val="00A63D1A"/>
    <w:rsid w:val="00A73DE6"/>
    <w:rsid w:val="00B7496D"/>
    <w:rsid w:val="00B75062"/>
    <w:rsid w:val="00BA2D39"/>
    <w:rsid w:val="00C1165C"/>
    <w:rsid w:val="00C77F40"/>
    <w:rsid w:val="00CB515F"/>
    <w:rsid w:val="00CC3330"/>
    <w:rsid w:val="00D1629C"/>
    <w:rsid w:val="00D17045"/>
    <w:rsid w:val="00D50C45"/>
    <w:rsid w:val="00D63BDE"/>
    <w:rsid w:val="00DC159B"/>
    <w:rsid w:val="00DC3770"/>
    <w:rsid w:val="00E15565"/>
    <w:rsid w:val="00E457E0"/>
    <w:rsid w:val="00E9690F"/>
    <w:rsid w:val="00EE0E12"/>
    <w:rsid w:val="00F70D5D"/>
    <w:rsid w:val="00FA3A55"/>
    <w:rsid w:val="00FA3AA7"/>
    <w:rsid w:val="00FD184D"/>
    <w:rsid w:val="20576895"/>
    <w:rsid w:val="3FEA2069"/>
    <w:rsid w:val="4AC52E77"/>
    <w:rsid w:val="70CA3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character" w:customStyle="1" w:styleId="7">
    <w:name w:val="页脚 Char"/>
    <w:basedOn w:val="5"/>
    <w:link w:val="2"/>
    <w:autoRedefine/>
    <w:qFormat/>
    <w:uiPriority w:val="0"/>
    <w:rPr>
      <w:rFonts w:ascii="Times New Roman" w:hAnsi="Times New Roman" w:eastAsia="方正仿宋_GBK" w:cs="Times New Roman"/>
      <w:sz w:val="18"/>
      <w:szCs w:val="20"/>
    </w:rPr>
  </w:style>
  <w:style w:type="character" w:customStyle="1" w:styleId="8">
    <w:name w:val="页眉 Char"/>
    <w:basedOn w:val="5"/>
    <w:link w:val="3"/>
    <w:autoRedefine/>
    <w:qFormat/>
    <w:uiPriority w:val="99"/>
    <w:rPr>
      <w:rFonts w:ascii="Times New Roman" w:hAnsi="Times New Roman" w:eastAsia="方正仿宋_GBK" w:cs="Times New Roman"/>
      <w:sz w:val="18"/>
      <w:szCs w:val="18"/>
    </w:rPr>
  </w:style>
  <w:style w:type="paragraph" w:styleId="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57015-A23E-46F7-BE96-A62910DC18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391</Words>
  <Characters>2234</Characters>
  <Lines>18</Lines>
  <Paragraphs>5</Paragraphs>
  <TotalTime>53</TotalTime>
  <ScaleCrop>false</ScaleCrop>
  <LinksUpToDate>false</LinksUpToDate>
  <CharactersWithSpaces>2620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2024-02-18T03:38:00Z</dcterms:created>
  <dc:creator>Administrator</dc:creator>
  <cp:lastModifiedBy>Administrator</cp:lastModifiedBy>
  <cp:lastPrinted>2023-02-13T06:38:00Z</cp:lastPrinted>
  <dcterms:modified xsi:type="dcterms:W3CDTF">2024-03-29T01:58:45Z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025DBE95BF254492823704848519BEFE_13</vt:lpwstr>
  </property>
</Properties>
</file>