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color w:val="auto"/>
          <w:sz w:val="44"/>
          <w:szCs w:val="44"/>
        </w:rPr>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color w:val="auto"/>
          <w:sz w:val="44"/>
          <w:szCs w:val="44"/>
        </w:rPr>
      </w:pPr>
      <w:bookmarkStart w:id="56" w:name="_GoBack"/>
      <w:bookmarkEnd w:id="56"/>
      <w:r>
        <w:rPr>
          <w:color w:val="auto"/>
          <w:sz w:val="44"/>
          <w:szCs w:val="44"/>
        </w:rPr>
        <w:t>国务院教育督导委员会办公室</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eastAsia="方正小标宋_GBK"/>
          <w:color w:val="auto"/>
          <w:sz w:val="44"/>
          <w:szCs w:val="44"/>
          <w:lang w:eastAsia="zh-CN"/>
        </w:rPr>
      </w:pPr>
      <w:r>
        <w:rPr>
          <w:rFonts w:hint="eastAsia"/>
          <w:color w:val="auto"/>
          <w:sz w:val="44"/>
          <w:szCs w:val="44"/>
          <w:lang w:eastAsia="zh-CN"/>
        </w:rPr>
        <w:t>关于印发</w:t>
      </w:r>
      <w:r>
        <w:rPr>
          <w:color w:val="auto"/>
          <w:sz w:val="44"/>
          <w:szCs w:val="44"/>
        </w:rPr>
        <w:t>《县域义务教育优质均衡发展国家督导评估认定工作规程》</w:t>
      </w:r>
      <w:r>
        <w:rPr>
          <w:rFonts w:hint="eastAsia"/>
          <w:color w:val="auto"/>
          <w:sz w:val="44"/>
          <w:szCs w:val="44"/>
          <w:lang w:eastAsia="zh-CN"/>
        </w:rPr>
        <w:t>的通知</w:t>
      </w:r>
    </w:p>
    <w:p>
      <w:pPr>
        <w:pStyle w:val="9"/>
        <w:keepNext w:val="0"/>
        <w:keepLines w:val="0"/>
        <w:pageBreakBefore w:val="0"/>
        <w:widowControl w:val="0"/>
        <w:kinsoku/>
        <w:wordWrap/>
        <w:overflowPunct/>
        <w:topLinePunct w:val="0"/>
        <w:autoSpaceDE/>
        <w:autoSpaceDN/>
        <w:bidi w:val="0"/>
        <w:adjustRightInd/>
        <w:snapToGrid/>
        <w:spacing w:line="560" w:lineRule="exact"/>
        <w:textAlignment w:val="auto"/>
        <w:rPr>
          <w:color w:val="auto"/>
          <w:lang w:val="en-US" w:eastAsia="zh-CN"/>
        </w:rPr>
      </w:pPr>
      <w:bookmarkStart w:id="0" w:name="_Toc5768"/>
      <w:bookmarkStart w:id="1" w:name="_Toc24961"/>
      <w:bookmarkStart w:id="2" w:name="_Toc9079"/>
    </w:p>
    <w:p>
      <w:pPr>
        <w:pStyle w:val="9"/>
        <w:keepNext w:val="0"/>
        <w:keepLines w:val="0"/>
        <w:pageBreakBefore w:val="0"/>
        <w:widowControl w:val="0"/>
        <w:kinsoku/>
        <w:wordWrap/>
        <w:overflowPunct/>
        <w:topLinePunct w:val="0"/>
        <w:autoSpaceDE/>
        <w:autoSpaceDN/>
        <w:bidi w:val="0"/>
        <w:adjustRightInd/>
        <w:snapToGrid/>
        <w:spacing w:line="560" w:lineRule="exact"/>
        <w:textAlignment w:val="auto"/>
        <w:rPr>
          <w:color w:val="auto"/>
          <w:sz w:val="30"/>
          <w:szCs w:val="30"/>
          <w:lang w:val="en-US" w:eastAsia="zh-CN"/>
        </w:rPr>
      </w:pPr>
      <w:r>
        <w:rPr>
          <w:color w:val="auto"/>
          <w:sz w:val="30"/>
          <w:szCs w:val="30"/>
          <w:lang w:val="en-US" w:eastAsia="zh-CN"/>
        </w:rPr>
        <w:t>国教督办函</w:t>
      </w:r>
      <w:r>
        <w:rPr>
          <w:rFonts w:hint="default" w:ascii="Times New Roman" w:hAnsi="Times New Roman" w:cs="Times New Roman"/>
          <w:color w:val="auto"/>
          <w:sz w:val="30"/>
          <w:szCs w:val="30"/>
          <w:lang w:val="en-US" w:eastAsia="zh-CN"/>
        </w:rPr>
        <w:t>〔2019〕30</w:t>
      </w:r>
      <w:r>
        <w:rPr>
          <w:color w:val="auto"/>
          <w:sz w:val="30"/>
          <w:szCs w:val="30"/>
          <w:lang w:val="en-US" w:eastAsia="zh-CN"/>
        </w:rPr>
        <w:t>号</w:t>
      </w:r>
      <w:bookmarkEnd w:id="0"/>
      <w:bookmarkEnd w:id="1"/>
      <w:bookmarkEnd w:id="2"/>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0"/>
        <w:jc w:val="both"/>
        <w:textAlignment w:val="auto"/>
        <w:rPr>
          <w:rFonts w:hint="eastAsia" w:asciiTheme="minorEastAsia" w:hAnsiTheme="minorEastAsia" w:eastAsiaTheme="minorEastAsia" w:cstheme="minorEastAsia"/>
          <w:color w:val="auto"/>
          <w:spacing w:val="0"/>
          <w:w w:val="100"/>
          <w:position w:val="0"/>
          <w:sz w:val="24"/>
          <w:szCs w:val="24"/>
        </w:rPr>
      </w:pP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right="0" w:firstLine="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pacing w:val="0"/>
          <w:w w:val="100"/>
          <w:position w:val="0"/>
          <w:sz w:val="32"/>
          <w:szCs w:val="32"/>
        </w:rPr>
        <w:t>各省、自治区、直辖市教育厅（教委）、教育督导部门，新疆生产建设兵团教育局、教育督导部门：</w:t>
      </w:r>
    </w:p>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60" w:lineRule="exact"/>
        <w:ind w:left="0" w:leftChars="0" w:right="0"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pacing w:val="0"/>
          <w:w w:val="100"/>
          <w:position w:val="0"/>
          <w:sz w:val="32"/>
          <w:szCs w:val="32"/>
        </w:rPr>
        <w:t>为落实党中央、国务院的部署，根据《县域义务教育优质均衡发展督导评估办法》（教督〔</w:t>
      </w:r>
      <w:r>
        <w:rPr>
          <w:rFonts w:hint="eastAsia" w:ascii="方正仿宋_GBK" w:hAnsi="方正仿宋_GBK" w:eastAsia="方正仿宋_GBK" w:cs="方正仿宋_GBK"/>
          <w:b w:val="0"/>
          <w:i w:val="0"/>
          <w:color w:val="auto"/>
          <w:spacing w:val="0"/>
          <w:w w:val="100"/>
          <w:position w:val="0"/>
          <w:sz w:val="32"/>
          <w:szCs w:val="32"/>
          <w:lang w:eastAsia="zh-CN"/>
        </w:rPr>
        <w:t>2</w:t>
      </w:r>
      <w:r>
        <w:rPr>
          <w:rFonts w:hint="eastAsia" w:ascii="方正仿宋_GBK" w:hAnsi="方正仿宋_GBK" w:eastAsia="方正仿宋_GBK" w:cs="方正仿宋_GBK"/>
          <w:color w:val="auto"/>
          <w:spacing w:val="0"/>
          <w:w w:val="100"/>
          <w:position w:val="0"/>
          <w:sz w:val="32"/>
          <w:szCs w:val="32"/>
          <w:lang w:eastAsia="zh-CN"/>
        </w:rPr>
        <w:t>0</w:t>
      </w:r>
      <w:r>
        <w:rPr>
          <w:rFonts w:hint="eastAsia" w:ascii="方正仿宋_GBK" w:hAnsi="方正仿宋_GBK" w:eastAsia="方正仿宋_GBK" w:cs="方正仿宋_GBK"/>
          <w:b w:val="0"/>
          <w:i w:val="0"/>
          <w:color w:val="auto"/>
          <w:spacing w:val="0"/>
          <w:w w:val="100"/>
          <w:position w:val="0"/>
          <w:sz w:val="32"/>
          <w:szCs w:val="32"/>
          <w:lang w:eastAsia="zh-CN"/>
        </w:rPr>
        <w:t>1</w:t>
      </w:r>
      <w:r>
        <w:rPr>
          <w:rFonts w:hint="eastAsia" w:ascii="方正仿宋_GBK" w:hAnsi="方正仿宋_GBK" w:eastAsia="方正仿宋_GBK" w:cs="方正仿宋_GBK"/>
          <w:color w:val="auto"/>
          <w:spacing w:val="0"/>
          <w:w w:val="100"/>
          <w:position w:val="0"/>
          <w:sz w:val="32"/>
          <w:szCs w:val="32"/>
          <w:lang w:eastAsia="zh-CN"/>
        </w:rPr>
        <w:t>7</w:t>
      </w:r>
      <w:r>
        <w:rPr>
          <w:rFonts w:hint="eastAsia" w:ascii="方正仿宋_GBK" w:hAnsi="方正仿宋_GBK" w:eastAsia="方正仿宋_GBK" w:cs="方正仿宋_GBK"/>
          <w:b w:val="0"/>
          <w:bCs w:val="0"/>
          <w:i w:val="0"/>
          <w:iCs w:val="0"/>
          <w:caps w:val="0"/>
          <w:smallCaps w:val="0"/>
          <w:strike w:val="0"/>
          <w:color w:val="auto"/>
          <w:spacing w:val="0"/>
          <w:w w:val="100"/>
          <w:kern w:val="0"/>
          <w:position w:val="0"/>
          <w:sz w:val="32"/>
          <w:szCs w:val="32"/>
          <w:u w:val="none"/>
          <w:shd w:val="clear" w:fill="FFFFFF"/>
          <w:lang w:val="en-US" w:eastAsia="zh-CN" w:bidi="ar"/>
        </w:rPr>
        <w:t>〕</w:t>
      </w:r>
      <w:r>
        <w:rPr>
          <w:rFonts w:hint="eastAsia" w:ascii="方正仿宋_GBK" w:hAnsi="方正仿宋_GBK" w:eastAsia="方正仿宋_GBK" w:cs="方正仿宋_GBK"/>
          <w:color w:val="auto"/>
          <w:spacing w:val="0"/>
          <w:w w:val="100"/>
          <w:position w:val="0"/>
          <w:sz w:val="32"/>
          <w:szCs w:val="32"/>
          <w:lang w:eastAsia="zh-CN"/>
        </w:rPr>
        <w:t>6</w:t>
      </w:r>
      <w:r>
        <w:rPr>
          <w:rFonts w:hint="eastAsia" w:ascii="方正仿宋_GBK" w:hAnsi="方正仿宋_GBK" w:eastAsia="方正仿宋_GBK" w:cs="方正仿宋_GBK"/>
          <w:color w:val="auto"/>
          <w:spacing w:val="0"/>
          <w:w w:val="100"/>
          <w:position w:val="0"/>
          <w:sz w:val="32"/>
          <w:szCs w:val="32"/>
        </w:rPr>
        <w:t>号）和《国务院教育督导委员会办公室关于做好县域义务教育优质均衡发展督导评估工作的通知》（国教督办函〔</w:t>
      </w:r>
      <w:r>
        <w:rPr>
          <w:rFonts w:hint="eastAsia" w:ascii="方正仿宋_GBK" w:hAnsi="方正仿宋_GBK" w:eastAsia="方正仿宋_GBK" w:cs="方正仿宋_GBK"/>
          <w:color w:val="auto"/>
          <w:spacing w:val="0"/>
          <w:w w:val="100"/>
          <w:position w:val="0"/>
          <w:sz w:val="32"/>
          <w:szCs w:val="32"/>
          <w:lang w:eastAsia="zh-CN"/>
        </w:rPr>
        <w:t>2017</w:t>
      </w:r>
      <w:r>
        <w:rPr>
          <w:rFonts w:hint="eastAsia" w:ascii="方正仿宋_GBK" w:hAnsi="方正仿宋_GBK" w:eastAsia="方正仿宋_GBK" w:cs="方正仿宋_GBK"/>
          <w:color w:val="auto"/>
          <w:spacing w:val="0"/>
          <w:w w:val="100"/>
          <w:position w:val="0"/>
          <w:sz w:val="32"/>
          <w:szCs w:val="32"/>
          <w:lang w:val="en-US" w:eastAsia="zh-CN"/>
        </w:rPr>
        <w:t>〕</w:t>
      </w:r>
      <w:r>
        <w:rPr>
          <w:rFonts w:hint="eastAsia" w:ascii="方正仿宋_GBK" w:hAnsi="方正仿宋_GBK" w:eastAsia="方正仿宋_GBK" w:cs="方正仿宋_GBK"/>
          <w:color w:val="auto"/>
          <w:spacing w:val="0"/>
          <w:w w:val="100"/>
          <w:position w:val="0"/>
          <w:sz w:val="32"/>
          <w:szCs w:val="32"/>
          <w:lang w:eastAsia="zh-CN"/>
        </w:rPr>
        <w:t>61</w:t>
      </w:r>
      <w:r>
        <w:rPr>
          <w:rFonts w:hint="eastAsia" w:ascii="方正仿宋_GBK" w:hAnsi="方正仿宋_GBK" w:eastAsia="方正仿宋_GBK" w:cs="方正仿宋_GBK"/>
          <w:color w:val="auto"/>
          <w:spacing w:val="0"/>
          <w:w w:val="100"/>
          <w:position w:val="0"/>
          <w:sz w:val="32"/>
          <w:szCs w:val="32"/>
        </w:rPr>
        <w:t>号）规定，我办制定了《县域义务教育优质均衡发展国家督导评估认定工作规程》，现印发给你们，请遵照行。</w:t>
      </w:r>
    </w:p>
    <w:p>
      <w:pPr>
        <w:pStyle w:val="11"/>
        <w:keepNext/>
        <w:keepLines/>
        <w:pageBreakBefore w:val="0"/>
        <w:widowControl w:val="0"/>
        <w:shd w:val="clear" w:color="auto" w:fill="auto"/>
        <w:kinsoku/>
        <w:wordWrap/>
        <w:overflowPunct/>
        <w:topLinePunct w:val="0"/>
        <w:autoSpaceDE/>
        <w:autoSpaceDN/>
        <w:bidi w:val="0"/>
        <w:adjustRightInd/>
        <w:snapToGrid/>
        <w:spacing w:before="0" w:after="0" w:line="560" w:lineRule="exact"/>
        <w:ind w:left="0" w:right="420" w:rightChars="200" w:firstLine="0"/>
        <w:jc w:val="both"/>
        <w:textAlignment w:val="auto"/>
        <w:rPr>
          <w:rFonts w:hint="eastAsia" w:ascii="方正仿宋_GBK" w:hAnsi="方正仿宋_GBK" w:eastAsia="方正仿宋_GBK" w:cs="方正仿宋_GBK"/>
          <w:color w:val="auto"/>
          <w:spacing w:val="0"/>
          <w:w w:val="100"/>
          <w:position w:val="0"/>
          <w:sz w:val="32"/>
          <w:szCs w:val="32"/>
          <w:lang w:val="en-US" w:eastAsia="zh-CN"/>
        </w:rPr>
      </w:pPr>
      <w:bookmarkStart w:id="3" w:name="_Toc4304"/>
      <w:bookmarkStart w:id="4" w:name="_Toc12360"/>
      <w:bookmarkStart w:id="5" w:name="_Toc14780"/>
      <w:bookmarkStart w:id="6" w:name="bookmark8"/>
      <w:bookmarkStart w:id="7" w:name="bookmark7"/>
      <w:bookmarkStart w:id="8" w:name="bookmark6"/>
    </w:p>
    <w:p>
      <w:pPr>
        <w:pStyle w:val="11"/>
        <w:keepNext/>
        <w:keepLines/>
        <w:pageBreakBefore w:val="0"/>
        <w:widowControl w:val="0"/>
        <w:shd w:val="clear" w:color="auto" w:fill="auto"/>
        <w:kinsoku/>
        <w:wordWrap/>
        <w:overflowPunct/>
        <w:topLinePunct w:val="0"/>
        <w:autoSpaceDE/>
        <w:autoSpaceDN/>
        <w:bidi w:val="0"/>
        <w:adjustRightInd/>
        <w:snapToGrid/>
        <w:spacing w:before="0" w:after="0" w:line="560" w:lineRule="exact"/>
        <w:ind w:left="0" w:right="504" w:rightChars="240" w:firstLine="0"/>
        <w:jc w:val="right"/>
        <w:textAlignment w:val="auto"/>
        <w:rPr>
          <w:rFonts w:hint="eastAsia" w:ascii="方正仿宋_GBK" w:hAnsi="方正仿宋_GBK" w:eastAsia="方正仿宋_GBK" w:cs="方正仿宋_GBK"/>
          <w:color w:val="auto"/>
          <w:spacing w:val="0"/>
          <w:w w:val="100"/>
          <w:position w:val="0"/>
          <w:sz w:val="32"/>
          <w:szCs w:val="32"/>
          <w:lang w:val="en-US" w:eastAsia="zh-CN"/>
        </w:rPr>
      </w:pPr>
    </w:p>
    <w:p>
      <w:pPr>
        <w:pStyle w:val="11"/>
        <w:keepNext/>
        <w:keepLines/>
        <w:pageBreakBefore w:val="0"/>
        <w:widowControl w:val="0"/>
        <w:shd w:val="clear" w:color="auto" w:fill="auto"/>
        <w:kinsoku/>
        <w:wordWrap/>
        <w:overflowPunct/>
        <w:topLinePunct w:val="0"/>
        <w:autoSpaceDE/>
        <w:autoSpaceDN/>
        <w:bidi w:val="0"/>
        <w:adjustRightInd/>
        <w:snapToGrid/>
        <w:spacing w:before="0" w:after="0" w:line="560" w:lineRule="exact"/>
        <w:ind w:left="0" w:right="504" w:rightChars="240" w:firstLine="0"/>
        <w:jc w:val="right"/>
        <w:textAlignment w:val="auto"/>
        <w:rPr>
          <w:rFonts w:hint="eastAsia" w:ascii="方正仿宋_GBK" w:hAnsi="方正仿宋_GBK" w:eastAsia="方正仿宋_GBK" w:cs="方正仿宋_GBK"/>
          <w:color w:val="auto"/>
          <w:spacing w:val="0"/>
          <w:w w:val="100"/>
          <w:position w:val="0"/>
          <w:sz w:val="32"/>
          <w:szCs w:val="32"/>
          <w:lang w:val="en-US" w:eastAsia="zh-CN"/>
        </w:rPr>
      </w:pPr>
      <w:r>
        <w:rPr>
          <w:rFonts w:hint="eastAsia" w:ascii="方正仿宋_GBK" w:hAnsi="方正仿宋_GBK" w:eastAsia="方正仿宋_GBK" w:cs="方正仿宋_GBK"/>
          <w:color w:val="auto"/>
          <w:spacing w:val="0"/>
          <w:w w:val="100"/>
          <w:position w:val="0"/>
          <w:sz w:val="32"/>
          <w:szCs w:val="32"/>
          <w:lang w:val="en-US" w:eastAsia="zh-CN"/>
        </w:rPr>
        <w:t>国务院教育督导委员会办公室</w:t>
      </w:r>
      <w:bookmarkEnd w:id="3"/>
      <w:bookmarkEnd w:id="4"/>
      <w:bookmarkEnd w:id="5"/>
      <w:r>
        <w:rPr>
          <w:rFonts w:hint="eastAsia" w:ascii="方正仿宋_GBK" w:hAnsi="方正仿宋_GBK" w:eastAsia="方正仿宋_GBK" w:cs="方正仿宋_GBK"/>
          <w:color w:val="auto"/>
          <w:spacing w:val="0"/>
          <w:w w:val="100"/>
          <w:position w:val="0"/>
          <w:sz w:val="32"/>
          <w:szCs w:val="32"/>
          <w:lang w:val="en-US" w:eastAsia="zh-CN"/>
        </w:rPr>
        <w:t xml:space="preserve">                                          </w:t>
      </w:r>
      <w:bookmarkStart w:id="9" w:name="_Toc10016"/>
      <w:bookmarkStart w:id="10" w:name="_Toc16530"/>
      <w:bookmarkStart w:id="11" w:name="_Toc6860"/>
      <w:r>
        <w:rPr>
          <w:rFonts w:hint="eastAsia" w:ascii="方正仿宋_GBK" w:hAnsi="方正仿宋_GBK" w:eastAsia="方正仿宋_GBK" w:cs="方正仿宋_GBK"/>
          <w:color w:val="auto"/>
          <w:spacing w:val="0"/>
          <w:w w:val="100"/>
          <w:kern w:val="2"/>
          <w:position w:val="0"/>
          <w:sz w:val="32"/>
          <w:szCs w:val="32"/>
          <w:u w:val="none"/>
          <w:shd w:val="clear" w:color="auto" w:fill="auto"/>
          <w:lang w:val="en-US" w:eastAsia="zh-CN" w:bidi="zh-TW"/>
        </w:rPr>
        <w:t>2019</w:t>
      </w:r>
      <w:r>
        <w:rPr>
          <w:rFonts w:hint="eastAsia" w:ascii="方正仿宋_GBK" w:hAnsi="方正仿宋_GBK" w:eastAsia="方正仿宋_GBK" w:cs="方正仿宋_GBK"/>
          <w:color w:val="auto"/>
          <w:spacing w:val="0"/>
          <w:w w:val="100"/>
          <w:position w:val="0"/>
          <w:sz w:val="32"/>
          <w:szCs w:val="32"/>
          <w:lang w:val="en-US" w:eastAsia="zh-CN"/>
        </w:rPr>
        <w:t>年</w:t>
      </w:r>
      <w:r>
        <w:rPr>
          <w:rFonts w:hint="eastAsia" w:ascii="方正仿宋_GBK" w:hAnsi="方正仿宋_GBK" w:eastAsia="方正仿宋_GBK" w:cs="方正仿宋_GBK"/>
          <w:color w:val="auto"/>
          <w:spacing w:val="0"/>
          <w:w w:val="100"/>
          <w:kern w:val="2"/>
          <w:position w:val="0"/>
          <w:sz w:val="32"/>
          <w:szCs w:val="32"/>
          <w:u w:val="none"/>
          <w:shd w:val="clear" w:color="auto" w:fill="auto"/>
          <w:lang w:val="en-US" w:eastAsia="zh-CN" w:bidi="zh-TW"/>
        </w:rPr>
        <w:t>8</w:t>
      </w:r>
      <w:r>
        <w:rPr>
          <w:rFonts w:hint="eastAsia" w:ascii="方正仿宋_GBK" w:hAnsi="方正仿宋_GBK" w:eastAsia="方正仿宋_GBK" w:cs="方正仿宋_GBK"/>
          <w:color w:val="auto"/>
          <w:spacing w:val="0"/>
          <w:w w:val="100"/>
          <w:position w:val="0"/>
          <w:sz w:val="32"/>
          <w:szCs w:val="32"/>
          <w:lang w:val="en-US" w:eastAsia="zh-CN"/>
        </w:rPr>
        <w:t>月</w:t>
      </w:r>
      <w:r>
        <w:rPr>
          <w:rFonts w:hint="eastAsia" w:ascii="方正仿宋_GBK" w:hAnsi="方正仿宋_GBK" w:eastAsia="方正仿宋_GBK" w:cs="方正仿宋_GBK"/>
          <w:color w:val="auto"/>
          <w:spacing w:val="0"/>
          <w:w w:val="100"/>
          <w:kern w:val="2"/>
          <w:position w:val="0"/>
          <w:sz w:val="32"/>
          <w:szCs w:val="32"/>
          <w:u w:val="none"/>
          <w:shd w:val="clear" w:color="auto" w:fill="auto"/>
          <w:lang w:val="en-US" w:eastAsia="zh-CN" w:bidi="zh-TW"/>
        </w:rPr>
        <w:t>2</w:t>
      </w:r>
      <w:r>
        <w:rPr>
          <w:rFonts w:hint="eastAsia" w:ascii="方正仿宋_GBK" w:hAnsi="方正仿宋_GBK" w:eastAsia="方正仿宋_GBK" w:cs="方正仿宋_GBK"/>
          <w:color w:val="auto"/>
          <w:spacing w:val="0"/>
          <w:w w:val="100"/>
          <w:position w:val="0"/>
          <w:sz w:val="32"/>
          <w:szCs w:val="32"/>
          <w:lang w:val="en-US" w:eastAsia="zh-CN"/>
        </w:rPr>
        <w:t>日</w:t>
      </w:r>
      <w:bookmarkEnd w:id="9"/>
      <w:bookmarkEnd w:id="10"/>
      <w:bookmarkEnd w:id="11"/>
    </w:p>
    <w:p>
      <w:pPr>
        <w:pStyle w:val="3"/>
        <w:pageBreakBefore w:val="0"/>
        <w:widowControl w:val="0"/>
        <w:kinsoku/>
        <w:wordWrap/>
        <w:overflowPunct/>
        <w:topLinePunct w:val="0"/>
        <w:autoSpaceDE/>
        <w:autoSpaceDN/>
        <w:bidi w:val="0"/>
        <w:adjustRightInd/>
        <w:snapToGrid/>
        <w:spacing w:line="560" w:lineRule="exact"/>
        <w:textAlignment w:val="auto"/>
        <w:rPr>
          <w:rFonts w:hint="eastAsia"/>
          <w:color w:val="auto"/>
        </w:rPr>
      </w:pPr>
      <w:bookmarkStart w:id="12" w:name="_Toc29134"/>
      <w:bookmarkStart w:id="13" w:name="_Toc15085"/>
      <w:bookmarkStart w:id="14" w:name="_Toc5348"/>
    </w:p>
    <w:p>
      <w:pPr>
        <w:pStyle w:val="3"/>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color w:val="auto"/>
        </w:rPr>
      </w:pPr>
    </w:p>
    <w:p>
      <w:pPr>
        <w:pageBreakBefore w:val="0"/>
        <w:widowControl w:val="0"/>
        <w:kinsoku/>
        <w:wordWrap/>
        <w:overflowPunct/>
        <w:topLinePunct w:val="0"/>
        <w:autoSpaceDE/>
        <w:autoSpaceDN/>
        <w:bidi w:val="0"/>
        <w:adjustRightInd/>
        <w:snapToGrid/>
        <w:spacing w:line="560" w:lineRule="exact"/>
        <w:textAlignment w:val="auto"/>
        <w:rPr>
          <w:rFonts w:hint="eastAsia"/>
          <w:color w:val="auto"/>
        </w:rPr>
      </w:pPr>
      <w:r>
        <w:rPr>
          <w:rFonts w:hint="eastAsia"/>
          <w:color w:val="auto"/>
        </w:rPr>
        <w:br w:type="page"/>
      </w:r>
    </w:p>
    <w:p>
      <w:pPr>
        <w:pStyle w:val="3"/>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color w:val="auto"/>
        </w:rPr>
      </w:pPr>
    </w:p>
    <w:p>
      <w:pPr>
        <w:pStyle w:val="3"/>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color w:val="auto"/>
        </w:rPr>
      </w:pPr>
      <w:r>
        <w:rPr>
          <w:rFonts w:hint="eastAsia" w:ascii="方正小标宋_GBK" w:hAnsi="方正小标宋_GBK" w:eastAsia="方正小标宋_GBK" w:cs="方正小标宋_GBK"/>
          <w:color w:val="auto"/>
          <w:sz w:val="44"/>
          <w:szCs w:val="44"/>
        </w:rPr>
        <w:t>县域义务教育优质均衡发展国家督导评估认定工作规程</w:t>
      </w:r>
      <w:bookmarkEnd w:id="6"/>
      <w:bookmarkEnd w:id="7"/>
      <w:bookmarkEnd w:id="8"/>
      <w:bookmarkEnd w:id="12"/>
      <w:bookmarkEnd w:id="13"/>
      <w:bookmarkEnd w:id="14"/>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color w:val="auto"/>
        </w:rPr>
      </w:pPr>
      <w:bookmarkStart w:id="15" w:name="bookmark11"/>
      <w:bookmarkStart w:id="16" w:name="bookmark9"/>
      <w:bookmarkStart w:id="17" w:name="bookmark10"/>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color w:val="auto"/>
        </w:rPr>
      </w:pPr>
      <w:r>
        <w:rPr>
          <w:rFonts w:hint="eastAsia" w:ascii="方正黑体_GBK" w:hAnsi="方正黑体_GBK" w:eastAsia="方正黑体_GBK" w:cs="方正黑体_GBK"/>
          <w:color w:val="auto"/>
          <w:sz w:val="32"/>
          <w:szCs w:val="32"/>
        </w:rPr>
        <w:t>第一章</w:t>
      </w:r>
      <w:r>
        <w:rPr>
          <w:rFonts w:hint="eastAsia" w:ascii="方正黑体_GBK" w:hAnsi="方正黑体_GBK" w:eastAsia="方正黑体_GBK" w:cs="方正黑体_GBK"/>
          <w:color w:val="auto"/>
          <w:sz w:val="32"/>
          <w:szCs w:val="32"/>
          <w:lang w:val="en-US" w:eastAsia="zh-CN"/>
        </w:rPr>
        <w:t xml:space="preserve">  </w:t>
      </w:r>
      <w:r>
        <w:rPr>
          <w:rFonts w:hint="eastAsia" w:ascii="方正黑体_GBK" w:hAnsi="方正黑体_GBK" w:eastAsia="方正黑体_GBK" w:cs="方正黑体_GBK"/>
          <w:color w:val="auto"/>
          <w:sz w:val="32"/>
          <w:szCs w:val="32"/>
        </w:rPr>
        <w:t>总</w:t>
      </w:r>
      <w:r>
        <w:rPr>
          <w:rFonts w:hint="eastAsia" w:ascii="方正黑体_GBK" w:hAnsi="方正黑体_GBK" w:eastAsia="方正黑体_GBK" w:cs="方正黑体_GBK"/>
          <w:color w:val="auto"/>
          <w:sz w:val="32"/>
          <w:szCs w:val="32"/>
          <w:lang w:val="en-US" w:eastAsia="zh-CN"/>
        </w:rPr>
        <w:t xml:space="preserve"> </w:t>
      </w:r>
      <w:r>
        <w:rPr>
          <w:rFonts w:hint="eastAsia" w:ascii="方正黑体_GBK" w:hAnsi="方正黑体_GBK" w:eastAsia="方正黑体_GBK" w:cs="方正黑体_GBK"/>
          <w:color w:val="auto"/>
          <w:sz w:val="32"/>
          <w:szCs w:val="32"/>
        </w:rPr>
        <w:t>则</w:t>
      </w:r>
      <w:bookmarkEnd w:id="15"/>
      <w:bookmarkEnd w:id="16"/>
      <w:bookmarkEnd w:id="17"/>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b/>
          <w:bCs/>
          <w:color w:val="auto"/>
          <w:spacing w:val="0"/>
          <w:w w:val="100"/>
          <w:position w:val="0"/>
          <w:sz w:val="32"/>
          <w:szCs w:val="32"/>
        </w:rPr>
      </w:pP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第一条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为做好县域义务教育优质均衡发展国家督导评估认定工作，规范程序，严格标准，提高科学性、可操作性和实效性，引导各地推进义务教育优质均衡发展县（市、区）（含不设区的市、市辖区、开发区等其他县级行政区划单位，以下简称“县”）创建工作，依据《教育督导条例》《县域义务教育优质均衡发展督导评估办法》，制定本规程。</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第二条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义务教育优质均衡发展县的督导评估认定工作（以下简称</w:t>
      </w:r>
      <w:r>
        <w:rPr>
          <w:rFonts w:hint="eastAsia" w:ascii="方正仿宋_GBK" w:hAnsi="方正仿宋_GBK" w:eastAsia="方正仿宋_GBK" w:cs="方正仿宋_GBK"/>
          <w:color w:val="auto"/>
          <w:spacing w:val="0"/>
          <w:w w:val="100"/>
          <w:position w:val="0"/>
          <w:sz w:val="32"/>
          <w:szCs w:val="32"/>
          <w:lang w:val="zh-CN" w:eastAsia="zh-CN" w:bidi="zh-CN"/>
        </w:rPr>
        <w:t>“国家</w:t>
      </w:r>
      <w:r>
        <w:rPr>
          <w:rFonts w:hint="eastAsia" w:ascii="方正仿宋_GBK" w:hAnsi="方正仿宋_GBK" w:eastAsia="方正仿宋_GBK" w:cs="方正仿宋_GBK"/>
          <w:color w:val="auto"/>
          <w:spacing w:val="0"/>
          <w:w w:val="100"/>
          <w:position w:val="0"/>
          <w:sz w:val="32"/>
          <w:szCs w:val="32"/>
        </w:rPr>
        <w:t>评估认定工作”），由国务院教育督导委员会办公室负责组织实施。</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第三条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优质均衡发展国家评估认定工作坚持以下原则：</w:t>
      </w:r>
    </w:p>
    <w:p>
      <w:pPr>
        <w:pStyle w:val="10"/>
        <w:keepNext w:val="0"/>
        <w:keepLines w:val="0"/>
        <w:pageBreakBefore w:val="0"/>
        <w:widowControl w:val="0"/>
        <w:shd w:val="clear" w:color="auto" w:fill="auto"/>
        <w:tabs>
          <w:tab w:val="left" w:pos="1621"/>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pacing w:val="0"/>
          <w:w w:val="100"/>
          <w:position w:val="0"/>
          <w:sz w:val="32"/>
          <w:szCs w:val="32"/>
        </w:rPr>
      </w:pPr>
      <w:bookmarkStart w:id="18" w:name="bookmark12"/>
      <w:r>
        <w:rPr>
          <w:rFonts w:hint="eastAsia" w:ascii="方正仿宋_GBK" w:hAnsi="方正仿宋_GBK" w:eastAsia="方正仿宋_GBK" w:cs="方正仿宋_GBK"/>
          <w:color w:val="auto"/>
          <w:spacing w:val="0"/>
          <w:w w:val="100"/>
          <w:position w:val="0"/>
          <w:sz w:val="32"/>
          <w:szCs w:val="32"/>
        </w:rPr>
        <w:t>（</w:t>
      </w:r>
      <w:bookmarkEnd w:id="18"/>
      <w:r>
        <w:rPr>
          <w:rFonts w:hint="eastAsia" w:ascii="方正仿宋_GBK" w:hAnsi="方正仿宋_GBK" w:eastAsia="方正仿宋_GBK" w:cs="方正仿宋_GBK"/>
          <w:color w:val="auto"/>
          <w:spacing w:val="0"/>
          <w:w w:val="100"/>
          <w:position w:val="0"/>
          <w:sz w:val="32"/>
          <w:szCs w:val="32"/>
        </w:rPr>
        <w:t>一）重硬件，更重软件。评估每一所义务教育学校达到全国统一标准的同时，重点考察加强教师队伍建设和学校管理、提高教育教学质量等情况。</w:t>
      </w:r>
      <w:bookmarkStart w:id="19" w:name="bookmark13"/>
    </w:p>
    <w:p>
      <w:pPr>
        <w:pStyle w:val="10"/>
        <w:keepNext w:val="0"/>
        <w:keepLines w:val="0"/>
        <w:pageBreakBefore w:val="0"/>
        <w:widowControl w:val="0"/>
        <w:shd w:val="clear" w:color="auto" w:fill="auto"/>
        <w:tabs>
          <w:tab w:val="left" w:pos="1621"/>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pacing w:val="0"/>
          <w:w w:val="100"/>
          <w:position w:val="0"/>
          <w:sz w:val="32"/>
          <w:szCs w:val="32"/>
        </w:rPr>
        <w:t>（</w:t>
      </w:r>
      <w:bookmarkEnd w:id="19"/>
      <w:r>
        <w:rPr>
          <w:rFonts w:hint="eastAsia" w:ascii="方正仿宋_GBK" w:hAnsi="方正仿宋_GBK" w:eastAsia="方正仿宋_GBK" w:cs="方正仿宋_GBK"/>
          <w:color w:val="auto"/>
          <w:spacing w:val="0"/>
          <w:w w:val="100"/>
          <w:position w:val="0"/>
          <w:sz w:val="32"/>
          <w:szCs w:val="32"/>
        </w:rPr>
        <w:t>二）重指标合格，更重群众满意。评估申报县各项指标达到县域义务教育优质均衡发展督导评估标准的同时，重点调查当地人民群众对义务教育优质均衡发展的认可程度。</w:t>
      </w:r>
    </w:p>
    <w:p>
      <w:pPr>
        <w:pStyle w:val="10"/>
        <w:keepNext w:val="0"/>
        <w:keepLines w:val="0"/>
        <w:pageBreakBefore w:val="0"/>
        <w:widowControl w:val="0"/>
        <w:shd w:val="clear" w:color="auto" w:fill="auto"/>
        <w:tabs>
          <w:tab w:val="left" w:pos="1626"/>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pacing w:val="0"/>
          <w:w w:val="100"/>
          <w:position w:val="0"/>
          <w:sz w:val="32"/>
          <w:szCs w:val="32"/>
        </w:rPr>
      </w:pPr>
      <w:r>
        <w:rPr>
          <w:rFonts w:hint="eastAsia" w:ascii="方正仿宋_GBK" w:hAnsi="方正仿宋_GBK" w:eastAsia="方正仿宋_GBK" w:cs="方正仿宋_GBK"/>
          <w:color w:val="auto"/>
          <w:spacing w:val="0"/>
          <w:w w:val="100"/>
          <w:position w:val="0"/>
          <w:sz w:val="32"/>
          <w:szCs w:val="32"/>
        </w:rPr>
        <w:t>（三）重数量，更重质量。按照《中国教育现代化</w:t>
      </w:r>
      <w:r>
        <w:rPr>
          <w:rFonts w:hint="eastAsia" w:ascii="方正仿宋_GBK" w:hAnsi="方正仿宋_GBK" w:eastAsia="方正仿宋_GBK" w:cs="方正仿宋_GBK"/>
          <w:b w:val="0"/>
          <w:i w:val="0"/>
          <w:color w:val="auto"/>
          <w:spacing w:val="0"/>
          <w:w w:val="100"/>
          <w:position w:val="0"/>
          <w:sz w:val="32"/>
          <w:szCs w:val="32"/>
          <w:lang w:eastAsia="zh-CN"/>
        </w:rPr>
        <w:t>2</w:t>
      </w:r>
      <w:r>
        <w:rPr>
          <w:rFonts w:hint="eastAsia" w:ascii="方正仿宋_GBK" w:hAnsi="方正仿宋_GBK" w:eastAsia="方正仿宋_GBK" w:cs="方正仿宋_GBK"/>
          <w:color w:val="auto"/>
          <w:spacing w:val="0"/>
          <w:w w:val="100"/>
          <w:position w:val="0"/>
          <w:sz w:val="32"/>
          <w:szCs w:val="32"/>
          <w:lang w:eastAsia="zh-CN"/>
        </w:rPr>
        <w:t>0</w:t>
      </w:r>
      <w:r>
        <w:rPr>
          <w:rFonts w:hint="eastAsia" w:ascii="方正仿宋_GBK" w:hAnsi="方正仿宋_GBK" w:eastAsia="方正仿宋_GBK" w:cs="方正仿宋_GBK"/>
          <w:b w:val="0"/>
          <w:i w:val="0"/>
          <w:color w:val="auto"/>
          <w:spacing w:val="0"/>
          <w:w w:val="100"/>
          <w:position w:val="0"/>
          <w:sz w:val="32"/>
          <w:szCs w:val="32"/>
          <w:lang w:eastAsia="zh-CN"/>
        </w:rPr>
        <w:t>3</w:t>
      </w:r>
      <w:r>
        <w:rPr>
          <w:rFonts w:hint="eastAsia" w:ascii="方正仿宋_GBK" w:hAnsi="方正仿宋_GBK" w:eastAsia="方正仿宋_GBK" w:cs="方正仿宋_GBK"/>
          <w:color w:val="auto"/>
          <w:spacing w:val="0"/>
          <w:w w:val="100"/>
          <w:position w:val="0"/>
          <w:sz w:val="32"/>
          <w:szCs w:val="32"/>
          <w:lang w:eastAsia="zh-CN"/>
        </w:rPr>
        <w:t>5</w:t>
      </w:r>
      <w:r>
        <w:rPr>
          <w:rFonts w:hint="eastAsia" w:ascii="方正仿宋_GBK" w:hAnsi="方正仿宋_GBK" w:eastAsia="方正仿宋_GBK" w:cs="方正仿宋_GBK"/>
          <w:color w:val="auto"/>
          <w:spacing w:val="0"/>
          <w:w w:val="100"/>
          <w:position w:val="0"/>
          <w:sz w:val="32"/>
          <w:szCs w:val="32"/>
        </w:rPr>
        <w:t>》提出的总体进度推进优质均衡发展工作的同时，更注重严格</w:t>
      </w:r>
      <w:bookmarkStart w:id="20" w:name="bookmark14"/>
      <w:bookmarkEnd w:id="20"/>
      <w:r>
        <w:rPr>
          <w:rFonts w:hint="eastAsia" w:ascii="方正仿宋_GBK" w:hAnsi="方正仿宋_GBK" w:eastAsia="方正仿宋_GBK" w:cs="方正仿宋_GBK"/>
          <w:color w:val="auto"/>
          <w:spacing w:val="0"/>
          <w:w w:val="100"/>
          <w:position w:val="0"/>
          <w:sz w:val="32"/>
          <w:szCs w:val="32"/>
        </w:rPr>
        <w:t>标准，严把质量，以质量均衡为核心，成熟一个，认定一个。具体进度由各省（自治区、直辖市）自主确定。</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pacing w:val="0"/>
          <w:w w:val="100"/>
          <w:position w:val="0"/>
          <w:sz w:val="32"/>
          <w:szCs w:val="32"/>
        </w:rPr>
      </w:pPr>
      <w:r>
        <w:rPr>
          <w:rFonts w:hint="eastAsia" w:ascii="方正仿宋_GBK" w:hAnsi="方正仿宋_GBK" w:eastAsia="方正仿宋_GBK" w:cs="方正仿宋_GBK"/>
          <w:b/>
          <w:bCs/>
          <w:color w:val="auto"/>
          <w:spacing w:val="0"/>
          <w:w w:val="100"/>
          <w:position w:val="0"/>
          <w:sz w:val="32"/>
          <w:szCs w:val="32"/>
        </w:rPr>
        <w:t>第四条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国家评估认定工作包括资格审核、社会认可度调查、指标审核、实地核查、结果认定五个流程，依次进行。在资格审核、社会认可度调查、指标审核、实地核查流程中，如发现存在未达到《县域义务教育优质均衡发展督导评估办法》规定标准要求的情况，国务院教育督导委员会办公室即终止对该县当年的评估认定工作，同时终止对该县所在省（自治区、直辖市）当年的评估认定工作。</w:t>
      </w:r>
      <w:bookmarkStart w:id="21" w:name="bookmark15"/>
      <w:bookmarkStart w:id="22" w:name="bookmark17"/>
      <w:bookmarkStart w:id="23" w:name="bookmark16"/>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黑体_GBK" w:hAnsi="方正黑体_GBK" w:eastAsia="方正黑体_GBK" w:cs="方正黑体_GBK"/>
          <w:color w:val="auto"/>
          <w:sz w:val="32"/>
          <w:szCs w:val="32"/>
        </w:rPr>
      </w:pPr>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黑体_GBK" w:hAnsi="方正黑体_GBK" w:eastAsia="方正黑体_GBK" w:cs="方正黑体_GBK"/>
          <w:color w:val="auto"/>
          <w:sz w:val="32"/>
          <w:szCs w:val="32"/>
        </w:rPr>
      </w:pPr>
      <w:r>
        <w:rPr>
          <w:rFonts w:hint="eastAsia" w:ascii="方正黑体_GBK" w:hAnsi="方正黑体_GBK" w:eastAsia="方正黑体_GBK" w:cs="方正黑体_GBK"/>
          <w:color w:val="auto"/>
          <w:sz w:val="32"/>
          <w:szCs w:val="32"/>
        </w:rPr>
        <w:t>第二章</w:t>
      </w:r>
      <w:r>
        <w:rPr>
          <w:rFonts w:hint="eastAsia" w:ascii="方正黑体_GBK" w:hAnsi="方正黑体_GBK" w:eastAsia="方正黑体_GBK" w:cs="方正黑体_GBK"/>
          <w:color w:val="auto"/>
          <w:sz w:val="32"/>
          <w:szCs w:val="32"/>
          <w:lang w:val="en-US" w:eastAsia="zh-CN"/>
        </w:rPr>
        <w:t xml:space="preserve">  </w:t>
      </w:r>
      <w:r>
        <w:rPr>
          <w:rFonts w:hint="eastAsia" w:ascii="方正黑体_GBK" w:hAnsi="方正黑体_GBK" w:eastAsia="方正黑体_GBK" w:cs="方正黑体_GBK"/>
          <w:color w:val="auto"/>
          <w:sz w:val="32"/>
          <w:szCs w:val="32"/>
        </w:rPr>
        <w:t>资格审核</w:t>
      </w:r>
      <w:bookmarkEnd w:id="21"/>
      <w:bookmarkEnd w:id="22"/>
      <w:bookmarkEnd w:id="23"/>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pacing w:val="0"/>
          <w:w w:val="100"/>
          <w:position w:val="0"/>
          <w:sz w:val="32"/>
          <w:szCs w:val="32"/>
        </w:rPr>
      </w:pPr>
      <w:r>
        <w:rPr>
          <w:rFonts w:hint="eastAsia" w:ascii="方正仿宋_GBK" w:hAnsi="方正仿宋_GBK" w:eastAsia="方正仿宋_GBK" w:cs="方正仿宋_GBK"/>
          <w:b/>
          <w:bCs/>
          <w:color w:val="auto"/>
          <w:spacing w:val="0"/>
          <w:w w:val="100"/>
          <w:position w:val="0"/>
          <w:sz w:val="32"/>
          <w:szCs w:val="32"/>
        </w:rPr>
        <w:t>第五条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国务院教育督导委员会办公室根据各省（自治区、直辖市）申请，组织专家或委托专门机构对有关申报县进行资格审核。</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第六条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申报县达到以下条件，方可通过资格审核：</w:t>
      </w:r>
    </w:p>
    <w:p>
      <w:pPr>
        <w:pStyle w:val="10"/>
        <w:keepNext w:val="0"/>
        <w:keepLines w:val="0"/>
        <w:pageBreakBefore w:val="0"/>
        <w:widowControl w:val="0"/>
        <w:shd w:val="clear" w:color="auto" w:fill="auto"/>
        <w:tabs>
          <w:tab w:val="left" w:pos="1908"/>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lang w:eastAsia="zh-CN"/>
        </w:rPr>
      </w:pPr>
      <w:bookmarkStart w:id="24" w:name="bookmark18"/>
      <w:r>
        <w:rPr>
          <w:rFonts w:hint="eastAsia" w:ascii="方正仿宋_GBK" w:hAnsi="方正仿宋_GBK" w:eastAsia="方正仿宋_GBK" w:cs="方正仿宋_GBK"/>
          <w:color w:val="auto"/>
          <w:spacing w:val="0"/>
          <w:w w:val="100"/>
          <w:position w:val="0"/>
          <w:sz w:val="32"/>
          <w:szCs w:val="32"/>
        </w:rPr>
        <w:t>（</w:t>
      </w:r>
      <w:bookmarkEnd w:id="24"/>
      <w:r>
        <w:rPr>
          <w:rFonts w:hint="eastAsia" w:ascii="方正仿宋_GBK" w:hAnsi="方正仿宋_GBK" w:eastAsia="方正仿宋_GBK" w:cs="方正仿宋_GBK"/>
          <w:color w:val="auto"/>
          <w:spacing w:val="0"/>
          <w:w w:val="100"/>
          <w:position w:val="0"/>
          <w:sz w:val="32"/>
          <w:szCs w:val="32"/>
        </w:rPr>
        <w:t>一）通过国家义务教育基本均衡发展认定三年以上</w:t>
      </w:r>
      <w:r>
        <w:rPr>
          <w:rFonts w:hint="eastAsia" w:ascii="方正仿宋_GBK" w:hAnsi="方正仿宋_GBK" w:eastAsia="方正仿宋_GBK" w:cs="方正仿宋_GBK"/>
          <w:color w:val="auto"/>
          <w:spacing w:val="0"/>
          <w:w w:val="100"/>
          <w:position w:val="0"/>
          <w:sz w:val="32"/>
          <w:szCs w:val="32"/>
          <w:lang w:eastAsia="zh-CN"/>
        </w:rPr>
        <w:t>；</w:t>
      </w:r>
    </w:p>
    <w:p>
      <w:pPr>
        <w:pStyle w:val="10"/>
        <w:keepNext w:val="0"/>
        <w:keepLines w:val="0"/>
        <w:pageBreakBefore w:val="0"/>
        <w:widowControl w:val="0"/>
        <w:shd w:val="clear" w:color="auto" w:fill="auto"/>
        <w:tabs>
          <w:tab w:val="left" w:pos="1895"/>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lang w:eastAsia="zh-CN"/>
        </w:rPr>
      </w:pPr>
      <w:bookmarkStart w:id="25" w:name="bookmark19"/>
      <w:r>
        <w:rPr>
          <w:rFonts w:hint="eastAsia" w:ascii="方正仿宋_GBK" w:hAnsi="方正仿宋_GBK" w:eastAsia="方正仿宋_GBK" w:cs="方正仿宋_GBK"/>
          <w:color w:val="auto"/>
          <w:spacing w:val="0"/>
          <w:w w:val="100"/>
          <w:position w:val="0"/>
          <w:sz w:val="32"/>
          <w:szCs w:val="32"/>
        </w:rPr>
        <w:t>（</w:t>
      </w:r>
      <w:bookmarkEnd w:id="25"/>
      <w:r>
        <w:rPr>
          <w:rFonts w:hint="eastAsia" w:ascii="方正仿宋_GBK" w:hAnsi="方正仿宋_GBK" w:eastAsia="方正仿宋_GBK" w:cs="方正仿宋_GBK"/>
          <w:color w:val="auto"/>
          <w:spacing w:val="0"/>
          <w:w w:val="100"/>
          <w:position w:val="0"/>
          <w:sz w:val="32"/>
          <w:szCs w:val="32"/>
        </w:rPr>
        <w:t>二）申报前三年未发生义务教育基本均衡规定指标不达标现象，其中，对小学、初中差异系数要求不超过</w:t>
      </w:r>
      <w:r>
        <w:rPr>
          <w:rFonts w:hint="eastAsia" w:ascii="方正仿宋_GBK" w:hAnsi="方正仿宋_GBK" w:eastAsia="方正仿宋_GBK" w:cs="方正仿宋_GBK"/>
          <w:color w:val="auto"/>
          <w:spacing w:val="0"/>
          <w:w w:val="100"/>
          <w:position w:val="0"/>
          <w:sz w:val="32"/>
          <w:szCs w:val="32"/>
          <w:lang w:eastAsia="zh-CN"/>
        </w:rPr>
        <w:t>0</w:t>
      </w:r>
      <w:r>
        <w:rPr>
          <w:rFonts w:hint="eastAsia" w:ascii="方正仿宋_GBK" w:hAnsi="方正仿宋_GBK" w:eastAsia="方正仿宋_GBK" w:cs="方正仿宋_GBK"/>
          <w:color w:val="auto"/>
          <w:spacing w:val="0"/>
          <w:w w:val="100"/>
          <w:position w:val="0"/>
          <w:sz w:val="32"/>
          <w:szCs w:val="32"/>
        </w:rPr>
        <w:t>.</w:t>
      </w:r>
      <w:r>
        <w:rPr>
          <w:rFonts w:hint="eastAsia" w:ascii="方正仿宋_GBK" w:hAnsi="方正仿宋_GBK" w:eastAsia="方正仿宋_GBK" w:cs="方正仿宋_GBK"/>
          <w:color w:val="auto"/>
          <w:spacing w:val="0"/>
          <w:w w:val="100"/>
          <w:position w:val="0"/>
          <w:sz w:val="32"/>
          <w:szCs w:val="32"/>
          <w:lang w:eastAsia="zh-CN"/>
        </w:rPr>
        <w:t>60</w:t>
      </w:r>
      <w:r>
        <w:rPr>
          <w:rFonts w:hint="eastAsia" w:ascii="方正仿宋_GBK" w:hAnsi="方正仿宋_GBK" w:eastAsia="方正仿宋_GBK" w:cs="方正仿宋_GBK"/>
          <w:color w:val="auto"/>
          <w:spacing w:val="0"/>
          <w:w w:val="100"/>
          <w:position w:val="0"/>
          <w:sz w:val="32"/>
          <w:szCs w:val="32"/>
        </w:rPr>
        <w:t>、</w:t>
      </w:r>
      <w:r>
        <w:rPr>
          <w:rFonts w:hint="eastAsia" w:ascii="方正仿宋_GBK" w:hAnsi="方正仿宋_GBK" w:eastAsia="方正仿宋_GBK" w:cs="方正仿宋_GBK"/>
          <w:color w:val="auto"/>
          <w:spacing w:val="0"/>
          <w:w w:val="100"/>
          <w:position w:val="0"/>
          <w:sz w:val="32"/>
          <w:szCs w:val="32"/>
          <w:lang w:val="en-US" w:eastAsia="zh-CN" w:bidi="en-US"/>
        </w:rPr>
        <w:t>0</w:t>
      </w:r>
      <w:r>
        <w:rPr>
          <w:rFonts w:hint="eastAsia" w:ascii="方正仿宋_GBK" w:hAnsi="方正仿宋_GBK" w:eastAsia="方正仿宋_GBK" w:cs="方正仿宋_GBK"/>
          <w:color w:val="auto"/>
          <w:spacing w:val="0"/>
          <w:w w:val="100"/>
          <w:position w:val="0"/>
          <w:sz w:val="32"/>
          <w:szCs w:val="32"/>
          <w:lang w:val="en-US" w:eastAsia="en-US" w:bidi="en-US"/>
        </w:rPr>
        <w:t>.</w:t>
      </w:r>
      <w:r>
        <w:rPr>
          <w:rFonts w:hint="eastAsia" w:ascii="方正仿宋_GBK" w:hAnsi="方正仿宋_GBK" w:eastAsia="方正仿宋_GBK" w:cs="方正仿宋_GBK"/>
          <w:color w:val="auto"/>
          <w:spacing w:val="0"/>
          <w:w w:val="100"/>
          <w:position w:val="0"/>
          <w:sz w:val="32"/>
          <w:szCs w:val="32"/>
          <w:lang w:val="en-US" w:eastAsia="zh-CN" w:bidi="en-US"/>
        </w:rPr>
        <w:t>50；</w:t>
      </w:r>
    </w:p>
    <w:p>
      <w:pPr>
        <w:pStyle w:val="10"/>
        <w:keepNext w:val="0"/>
        <w:keepLines w:val="0"/>
        <w:pageBreakBefore w:val="0"/>
        <w:widowControl w:val="0"/>
        <w:shd w:val="clear" w:color="auto" w:fill="auto"/>
        <w:tabs>
          <w:tab w:val="left" w:pos="1871"/>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lang w:eastAsia="zh-CN"/>
        </w:rPr>
      </w:pPr>
      <w:bookmarkStart w:id="26" w:name="bookmark20"/>
      <w:r>
        <w:rPr>
          <w:rFonts w:hint="eastAsia" w:ascii="方正仿宋_GBK" w:hAnsi="方正仿宋_GBK" w:eastAsia="方正仿宋_GBK" w:cs="方正仿宋_GBK"/>
          <w:color w:val="auto"/>
          <w:spacing w:val="0"/>
          <w:w w:val="100"/>
          <w:position w:val="0"/>
          <w:sz w:val="32"/>
          <w:szCs w:val="32"/>
        </w:rPr>
        <w:t>（</w:t>
      </w:r>
      <w:bookmarkEnd w:id="26"/>
      <w:r>
        <w:rPr>
          <w:rFonts w:hint="eastAsia" w:ascii="方正仿宋_GBK" w:hAnsi="方正仿宋_GBK" w:eastAsia="方正仿宋_GBK" w:cs="方正仿宋_GBK"/>
          <w:color w:val="auto"/>
          <w:spacing w:val="0"/>
          <w:w w:val="100"/>
          <w:position w:val="0"/>
          <w:sz w:val="32"/>
          <w:szCs w:val="32"/>
        </w:rPr>
        <w:t>三）在国家或省级义务教育质量监测中，相关科目的学生学业水平达到</w:t>
      </w:r>
      <w:r>
        <w:rPr>
          <w:rFonts w:hint="eastAsia" w:ascii="方正仿宋_GBK" w:hAnsi="方正仿宋_GBK" w:eastAsia="方正仿宋_GBK" w:cs="方正仿宋_GBK"/>
          <w:color w:val="auto"/>
          <w:spacing w:val="0"/>
          <w:w w:val="100"/>
          <w:position w:val="0"/>
          <w:sz w:val="32"/>
          <w:szCs w:val="32"/>
          <w:lang w:eastAsia="zh-CN"/>
        </w:rPr>
        <w:t>Ⅲ</w:t>
      </w:r>
      <w:r>
        <w:rPr>
          <w:rFonts w:hint="eastAsia" w:ascii="方正仿宋_GBK" w:hAnsi="方正仿宋_GBK" w:eastAsia="方正仿宋_GBK" w:cs="方正仿宋_GBK"/>
          <w:color w:val="auto"/>
          <w:spacing w:val="0"/>
          <w:w w:val="100"/>
          <w:position w:val="0"/>
          <w:sz w:val="32"/>
          <w:szCs w:val="32"/>
        </w:rPr>
        <w:t>级以上，且校际差异率低于</w:t>
      </w:r>
      <w:r>
        <w:rPr>
          <w:rFonts w:hint="eastAsia" w:ascii="方正仿宋_GBK" w:hAnsi="方正仿宋_GBK" w:eastAsia="方正仿宋_GBK" w:cs="方正仿宋_GBK"/>
          <w:color w:val="auto"/>
          <w:spacing w:val="0"/>
          <w:w w:val="100"/>
          <w:position w:val="0"/>
          <w:sz w:val="32"/>
          <w:szCs w:val="32"/>
          <w:lang w:val="en-US" w:eastAsia="zh-CN" w:bidi="en-US"/>
        </w:rPr>
        <w:t>0</w:t>
      </w:r>
      <w:r>
        <w:rPr>
          <w:rFonts w:hint="eastAsia" w:ascii="方正仿宋_GBK" w:hAnsi="方正仿宋_GBK" w:eastAsia="方正仿宋_GBK" w:cs="方正仿宋_GBK"/>
          <w:color w:val="auto"/>
          <w:spacing w:val="0"/>
          <w:w w:val="100"/>
          <w:position w:val="0"/>
          <w:sz w:val="32"/>
          <w:szCs w:val="32"/>
          <w:lang w:val="en-US" w:eastAsia="en-US" w:bidi="en-US"/>
        </w:rPr>
        <w:t>.</w:t>
      </w:r>
      <w:r>
        <w:rPr>
          <w:rFonts w:hint="eastAsia" w:ascii="方正仿宋_GBK" w:hAnsi="方正仿宋_GBK" w:eastAsia="方正仿宋_GBK" w:cs="方正仿宋_GBK"/>
          <w:b w:val="0"/>
          <w:i w:val="0"/>
          <w:color w:val="auto"/>
          <w:spacing w:val="0"/>
          <w:w w:val="100"/>
          <w:position w:val="0"/>
          <w:sz w:val="32"/>
          <w:szCs w:val="32"/>
          <w:lang w:val="en-US" w:eastAsia="zh-CN" w:bidi="en-US"/>
        </w:rPr>
        <w:t>1</w:t>
      </w:r>
      <w:r>
        <w:rPr>
          <w:rFonts w:hint="eastAsia" w:ascii="方正仿宋_GBK" w:hAnsi="方正仿宋_GBK" w:eastAsia="方正仿宋_GBK" w:cs="方正仿宋_GBK"/>
          <w:color w:val="auto"/>
          <w:spacing w:val="0"/>
          <w:w w:val="100"/>
          <w:position w:val="0"/>
          <w:sz w:val="32"/>
          <w:szCs w:val="32"/>
          <w:lang w:val="en-US" w:eastAsia="zh-CN" w:bidi="en-US"/>
        </w:rPr>
        <w:t>5；</w:t>
      </w:r>
    </w:p>
    <w:p>
      <w:pPr>
        <w:pStyle w:val="10"/>
        <w:keepNext w:val="0"/>
        <w:keepLines w:val="0"/>
        <w:pageBreakBefore w:val="0"/>
        <w:widowControl w:val="0"/>
        <w:shd w:val="clear" w:color="auto" w:fill="auto"/>
        <w:tabs>
          <w:tab w:val="left" w:pos="1881"/>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pacing w:val="0"/>
          <w:w w:val="100"/>
          <w:position w:val="0"/>
          <w:sz w:val="32"/>
          <w:szCs w:val="32"/>
          <w:lang w:val="en-US" w:eastAsia="zh-CN" w:bidi="en-US"/>
        </w:rPr>
      </w:pPr>
      <w:bookmarkStart w:id="27" w:name="bookmark21"/>
      <w:r>
        <w:rPr>
          <w:rFonts w:hint="eastAsia" w:ascii="方正仿宋_GBK" w:hAnsi="方正仿宋_GBK" w:eastAsia="方正仿宋_GBK" w:cs="方正仿宋_GBK"/>
          <w:color w:val="auto"/>
          <w:spacing w:val="0"/>
          <w:w w:val="100"/>
          <w:position w:val="0"/>
          <w:sz w:val="32"/>
          <w:szCs w:val="32"/>
        </w:rPr>
        <w:t>（</w:t>
      </w:r>
      <w:bookmarkEnd w:id="27"/>
      <w:r>
        <w:rPr>
          <w:rFonts w:hint="eastAsia" w:ascii="方正仿宋_GBK" w:hAnsi="方正仿宋_GBK" w:eastAsia="方正仿宋_GBK" w:cs="方正仿宋_GBK"/>
          <w:color w:val="auto"/>
          <w:spacing w:val="0"/>
          <w:w w:val="100"/>
          <w:position w:val="0"/>
          <w:sz w:val="32"/>
          <w:szCs w:val="32"/>
        </w:rPr>
        <w:t>四）按义务教育优质均衡规定指标测算的小学、初中差异系数分别不高于</w:t>
      </w:r>
      <w:r>
        <w:rPr>
          <w:rFonts w:hint="eastAsia" w:ascii="方正仿宋_GBK" w:hAnsi="方正仿宋_GBK" w:eastAsia="方正仿宋_GBK" w:cs="方正仿宋_GBK"/>
          <w:color w:val="auto"/>
          <w:spacing w:val="0"/>
          <w:w w:val="100"/>
          <w:position w:val="0"/>
          <w:sz w:val="32"/>
          <w:szCs w:val="32"/>
          <w:lang w:eastAsia="zh-CN"/>
        </w:rPr>
        <w:t>0</w:t>
      </w:r>
      <w:r>
        <w:rPr>
          <w:rFonts w:hint="eastAsia" w:ascii="方正仿宋_GBK" w:hAnsi="方正仿宋_GBK" w:eastAsia="方正仿宋_GBK" w:cs="方正仿宋_GBK"/>
          <w:color w:val="auto"/>
          <w:spacing w:val="0"/>
          <w:w w:val="100"/>
          <w:position w:val="0"/>
          <w:sz w:val="32"/>
          <w:szCs w:val="32"/>
        </w:rPr>
        <w:t>.</w:t>
      </w:r>
      <w:r>
        <w:rPr>
          <w:rFonts w:hint="eastAsia" w:ascii="方正仿宋_GBK" w:hAnsi="方正仿宋_GBK" w:eastAsia="方正仿宋_GBK" w:cs="方正仿宋_GBK"/>
          <w:color w:val="auto"/>
          <w:spacing w:val="0"/>
          <w:w w:val="100"/>
          <w:position w:val="0"/>
          <w:sz w:val="32"/>
          <w:szCs w:val="32"/>
          <w:lang w:eastAsia="zh-CN"/>
        </w:rPr>
        <w:t>50</w:t>
      </w:r>
      <w:r>
        <w:rPr>
          <w:rFonts w:hint="eastAsia" w:ascii="方正仿宋_GBK" w:hAnsi="方正仿宋_GBK" w:eastAsia="方正仿宋_GBK" w:cs="方正仿宋_GBK"/>
          <w:color w:val="auto"/>
          <w:spacing w:val="0"/>
          <w:w w:val="100"/>
          <w:position w:val="0"/>
          <w:sz w:val="32"/>
          <w:szCs w:val="32"/>
        </w:rPr>
        <w:t>、</w:t>
      </w:r>
      <w:r>
        <w:rPr>
          <w:rFonts w:hint="eastAsia" w:ascii="方正仿宋_GBK" w:hAnsi="方正仿宋_GBK" w:eastAsia="方正仿宋_GBK" w:cs="方正仿宋_GBK"/>
          <w:color w:val="auto"/>
          <w:spacing w:val="0"/>
          <w:w w:val="100"/>
          <w:position w:val="0"/>
          <w:sz w:val="32"/>
          <w:szCs w:val="32"/>
          <w:lang w:val="en-US" w:eastAsia="zh-CN" w:bidi="en-US"/>
        </w:rPr>
        <w:t>0</w:t>
      </w:r>
      <w:r>
        <w:rPr>
          <w:rFonts w:hint="eastAsia" w:ascii="方正仿宋_GBK" w:hAnsi="方正仿宋_GBK" w:eastAsia="方正仿宋_GBK" w:cs="方正仿宋_GBK"/>
          <w:color w:val="auto"/>
          <w:spacing w:val="0"/>
          <w:w w:val="100"/>
          <w:position w:val="0"/>
          <w:sz w:val="32"/>
          <w:szCs w:val="32"/>
          <w:lang w:val="en-US" w:eastAsia="en-US" w:bidi="en-US"/>
        </w:rPr>
        <w:t>.</w:t>
      </w:r>
      <w:r>
        <w:rPr>
          <w:rFonts w:hint="eastAsia" w:ascii="方正仿宋_GBK" w:hAnsi="方正仿宋_GBK" w:eastAsia="方正仿宋_GBK" w:cs="方正仿宋_GBK"/>
          <w:b w:val="0"/>
          <w:i w:val="0"/>
          <w:color w:val="auto"/>
          <w:spacing w:val="0"/>
          <w:w w:val="100"/>
          <w:position w:val="0"/>
          <w:sz w:val="32"/>
          <w:szCs w:val="32"/>
          <w:lang w:val="en-US" w:eastAsia="zh-CN" w:bidi="en-US"/>
        </w:rPr>
        <w:t>4</w:t>
      </w:r>
      <w:r>
        <w:rPr>
          <w:rFonts w:hint="eastAsia" w:ascii="方正仿宋_GBK" w:hAnsi="方正仿宋_GBK" w:eastAsia="方正仿宋_GBK" w:cs="方正仿宋_GBK"/>
          <w:color w:val="auto"/>
          <w:spacing w:val="0"/>
          <w:w w:val="100"/>
          <w:position w:val="0"/>
          <w:sz w:val="32"/>
          <w:szCs w:val="32"/>
          <w:lang w:val="en-US" w:eastAsia="zh-CN" w:bidi="en-US"/>
        </w:rPr>
        <w:t>5；</w:t>
      </w:r>
      <w:bookmarkStart w:id="28" w:name="bookmark22"/>
    </w:p>
    <w:p>
      <w:pPr>
        <w:pStyle w:val="10"/>
        <w:keepNext w:val="0"/>
        <w:keepLines w:val="0"/>
        <w:pageBreakBefore w:val="0"/>
        <w:widowControl w:val="0"/>
        <w:shd w:val="clear" w:color="auto" w:fill="auto"/>
        <w:tabs>
          <w:tab w:val="left" w:pos="1881"/>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pacing w:val="0"/>
          <w:w w:val="100"/>
          <w:position w:val="0"/>
          <w:sz w:val="32"/>
          <w:szCs w:val="32"/>
        </w:rPr>
      </w:pPr>
      <w:r>
        <w:rPr>
          <w:rFonts w:hint="eastAsia" w:ascii="方正仿宋_GBK" w:hAnsi="方正仿宋_GBK" w:eastAsia="方正仿宋_GBK" w:cs="方正仿宋_GBK"/>
          <w:color w:val="auto"/>
          <w:spacing w:val="0"/>
          <w:w w:val="100"/>
          <w:position w:val="0"/>
          <w:sz w:val="32"/>
          <w:szCs w:val="32"/>
        </w:rPr>
        <w:t>（</w:t>
      </w:r>
      <w:bookmarkEnd w:id="28"/>
      <w:r>
        <w:rPr>
          <w:rFonts w:hint="eastAsia" w:ascii="方正仿宋_GBK" w:hAnsi="方正仿宋_GBK" w:eastAsia="方正仿宋_GBK" w:cs="方正仿宋_GBK"/>
          <w:color w:val="auto"/>
          <w:spacing w:val="0"/>
          <w:w w:val="100"/>
          <w:position w:val="0"/>
          <w:sz w:val="32"/>
          <w:szCs w:val="32"/>
        </w:rPr>
        <w:t>五）申报当年该县教育系统未发生重大安全责任事故或严重违法违纪违规事件，未发生“校闹”、社会舆论关注或人民群众反映强烈的突出问题。</w:t>
      </w:r>
    </w:p>
    <w:p>
      <w:pPr>
        <w:pStyle w:val="10"/>
        <w:keepNext w:val="0"/>
        <w:keepLines w:val="0"/>
        <w:pageBreakBefore w:val="0"/>
        <w:widowControl w:val="0"/>
        <w:shd w:val="clear" w:color="auto" w:fill="auto"/>
        <w:tabs>
          <w:tab w:val="left" w:pos="1881"/>
        </w:tabs>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pacing w:val="0"/>
          <w:w w:val="100"/>
          <w:position w:val="0"/>
          <w:sz w:val="32"/>
          <w:szCs w:val="32"/>
        </w:rPr>
      </w:pPr>
      <w:r>
        <w:rPr>
          <w:rFonts w:hint="eastAsia" w:ascii="方正仿宋_GBK" w:hAnsi="方正仿宋_GBK" w:eastAsia="方正仿宋_GBK" w:cs="方正仿宋_GBK"/>
          <w:b/>
          <w:bCs/>
          <w:color w:val="auto"/>
          <w:spacing w:val="0"/>
          <w:w w:val="100"/>
          <w:position w:val="0"/>
          <w:sz w:val="32"/>
          <w:szCs w:val="32"/>
        </w:rPr>
        <w:t>第七条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国务院教育督导委员会办公室与申请省（自治区、直辖市）核对后，确定资格审核结论意见。</w:t>
      </w:r>
      <w:bookmarkStart w:id="29" w:name="bookmark23"/>
      <w:bookmarkStart w:id="30" w:name="bookmark24"/>
      <w:bookmarkStart w:id="31" w:name="bookmark25"/>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黑体_GBK" w:hAnsi="方正黑体_GBK" w:eastAsia="方正黑体_GBK" w:cs="方正黑体_GBK"/>
          <w:color w:val="auto"/>
          <w:sz w:val="32"/>
          <w:szCs w:val="32"/>
        </w:rPr>
      </w:pPr>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color w:val="auto"/>
        </w:rPr>
      </w:pPr>
      <w:r>
        <w:rPr>
          <w:rFonts w:hint="eastAsia" w:ascii="方正黑体_GBK" w:hAnsi="方正黑体_GBK" w:eastAsia="方正黑体_GBK" w:cs="方正黑体_GBK"/>
          <w:color w:val="auto"/>
          <w:sz w:val="32"/>
          <w:szCs w:val="32"/>
        </w:rPr>
        <w:t>第三章</w:t>
      </w:r>
      <w:r>
        <w:rPr>
          <w:rFonts w:hint="eastAsia" w:ascii="方正黑体_GBK" w:hAnsi="方正黑体_GBK" w:eastAsia="方正黑体_GBK" w:cs="方正黑体_GBK"/>
          <w:color w:val="auto"/>
          <w:sz w:val="32"/>
          <w:szCs w:val="32"/>
          <w:lang w:val="en-US" w:eastAsia="zh-CN"/>
        </w:rPr>
        <w:t xml:space="preserve">  </w:t>
      </w:r>
      <w:r>
        <w:rPr>
          <w:rFonts w:hint="eastAsia" w:ascii="方正黑体_GBK" w:hAnsi="方正黑体_GBK" w:eastAsia="方正黑体_GBK" w:cs="方正黑体_GBK"/>
          <w:color w:val="auto"/>
          <w:sz w:val="32"/>
          <w:szCs w:val="32"/>
        </w:rPr>
        <w:t>社会认可度调查</w:t>
      </w:r>
      <w:bookmarkEnd w:id="29"/>
      <w:bookmarkEnd w:id="30"/>
      <w:bookmarkEnd w:id="31"/>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第八条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国务院教育督导委员会办公室研制社会认可度调查问卷，研发调查软件平台工具，委托专业机构，组织对通过资格审核的申报县进行社会认可度调查。</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第九条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社会认可度调查的主要内容包括：县级人民政府及有关职能部门落实教育公平政策、推动优质资源共享等情况，义务教育学校规范办学行为、实施素质教育、考试评估制度改革、提高教育质量等情况。</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第十条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社会认可度调查对象包括：家长、教师、校长、人大代表、政协委员、学生及其他群众。调查采用抽样方式进行，抽样数量一般按申报县常住人口的</w:t>
      </w:r>
      <w:r>
        <w:rPr>
          <w:rFonts w:hint="eastAsia" w:ascii="方正仿宋_GBK" w:hAnsi="方正仿宋_GBK" w:eastAsia="方正仿宋_GBK" w:cs="方正仿宋_GBK"/>
          <w:b w:val="0"/>
          <w:i w:val="0"/>
          <w:color w:val="auto"/>
          <w:spacing w:val="0"/>
          <w:w w:val="100"/>
          <w:position w:val="0"/>
          <w:sz w:val="32"/>
          <w:szCs w:val="32"/>
          <w:lang w:eastAsia="zh-CN"/>
        </w:rPr>
        <w:t>1</w:t>
      </w:r>
      <w:r>
        <w:rPr>
          <w:rFonts w:hint="eastAsia" w:ascii="方正仿宋_GBK" w:hAnsi="方正仿宋_GBK" w:eastAsia="方正仿宋_GBK" w:cs="方正仿宋_GBK"/>
          <w:color w:val="auto"/>
          <w:spacing w:val="0"/>
          <w:w w:val="100"/>
          <w:position w:val="0"/>
          <w:sz w:val="32"/>
          <w:szCs w:val="32"/>
        </w:rPr>
        <w:t>.</w:t>
      </w:r>
      <w:r>
        <w:rPr>
          <w:rFonts w:hint="eastAsia" w:ascii="方正仿宋_GBK" w:hAnsi="方正仿宋_GBK" w:eastAsia="方正仿宋_GBK" w:cs="方正仿宋_GBK"/>
          <w:color w:val="auto"/>
          <w:spacing w:val="0"/>
          <w:w w:val="100"/>
          <w:position w:val="0"/>
          <w:sz w:val="32"/>
          <w:szCs w:val="32"/>
          <w:lang w:eastAsia="zh-CN"/>
        </w:rPr>
        <w:t>5‰</w:t>
      </w:r>
      <w:r>
        <w:rPr>
          <w:rFonts w:hint="eastAsia" w:ascii="方正仿宋_GBK" w:hAnsi="方正仿宋_GBK" w:eastAsia="方正仿宋_GBK" w:cs="方正仿宋_GBK"/>
          <w:color w:val="auto"/>
          <w:spacing w:val="0"/>
          <w:w w:val="100"/>
          <w:position w:val="0"/>
          <w:sz w:val="32"/>
          <w:szCs w:val="32"/>
        </w:rPr>
        <w:t>确定。调查对象中，家长的比例原则上不低于</w:t>
      </w:r>
      <w:r>
        <w:rPr>
          <w:rFonts w:hint="eastAsia" w:ascii="方正仿宋_GBK" w:hAnsi="方正仿宋_GBK" w:eastAsia="方正仿宋_GBK" w:cs="方正仿宋_GBK"/>
          <w:color w:val="auto"/>
          <w:spacing w:val="0"/>
          <w:w w:val="100"/>
          <w:position w:val="0"/>
          <w:sz w:val="32"/>
          <w:szCs w:val="32"/>
          <w:lang w:eastAsia="zh-CN"/>
        </w:rPr>
        <w:t>50%，</w:t>
      </w:r>
      <w:r>
        <w:rPr>
          <w:rFonts w:hint="eastAsia" w:ascii="方正仿宋_GBK" w:hAnsi="方正仿宋_GBK" w:eastAsia="方正仿宋_GBK" w:cs="方正仿宋_GBK"/>
          <w:color w:val="auto"/>
          <w:spacing w:val="0"/>
          <w:w w:val="100"/>
          <w:position w:val="0"/>
          <w:sz w:val="32"/>
          <w:szCs w:val="32"/>
        </w:rPr>
        <w:t>其他各类调查对象数量大体相当。</w:t>
      </w:r>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黑体_GBK" w:hAnsi="方正黑体_GBK" w:eastAsia="方正黑体_GBK" w:cs="方正黑体_GBK"/>
          <w:color w:val="auto"/>
          <w:sz w:val="32"/>
          <w:szCs w:val="32"/>
        </w:rPr>
      </w:pPr>
      <w:bookmarkStart w:id="32" w:name="bookmark26"/>
      <w:bookmarkStart w:id="33" w:name="bookmark27"/>
      <w:bookmarkStart w:id="34" w:name="bookmark28"/>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color w:val="auto"/>
        </w:rPr>
      </w:pPr>
      <w:r>
        <w:rPr>
          <w:rFonts w:hint="eastAsia" w:ascii="方正黑体_GBK" w:hAnsi="方正黑体_GBK" w:eastAsia="方正黑体_GBK" w:cs="方正黑体_GBK"/>
          <w:color w:val="auto"/>
          <w:sz w:val="32"/>
          <w:szCs w:val="32"/>
        </w:rPr>
        <w:t>第四章</w:t>
      </w:r>
      <w:r>
        <w:rPr>
          <w:rFonts w:hint="eastAsia" w:ascii="方正黑体_GBK" w:hAnsi="方正黑体_GBK" w:eastAsia="方正黑体_GBK" w:cs="方正黑体_GBK"/>
          <w:color w:val="auto"/>
          <w:sz w:val="32"/>
          <w:szCs w:val="32"/>
          <w:lang w:val="en-US" w:eastAsia="zh-CN"/>
        </w:rPr>
        <w:t xml:space="preserve">  </w:t>
      </w:r>
      <w:r>
        <w:rPr>
          <w:rFonts w:hint="eastAsia" w:ascii="方正黑体_GBK" w:hAnsi="方正黑体_GBK" w:eastAsia="方正黑体_GBK" w:cs="方正黑体_GBK"/>
          <w:color w:val="auto"/>
          <w:sz w:val="32"/>
          <w:szCs w:val="32"/>
        </w:rPr>
        <w:t>指标审核</w:t>
      </w:r>
      <w:bookmarkEnd w:id="32"/>
      <w:bookmarkEnd w:id="33"/>
      <w:bookmarkEnd w:id="34"/>
    </w:p>
    <w:p>
      <w:pPr>
        <w:pStyle w:val="10"/>
        <w:keepNext w:val="0"/>
        <w:keepLines w:val="0"/>
        <w:pageBreakBefore w:val="0"/>
        <w:widowControl w:val="0"/>
        <w:shd w:val="clear" w:color="auto" w:fill="auto"/>
        <w:tabs>
          <w:tab w:val="left" w:pos="4210"/>
        </w:tabs>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第十一条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国务院教育督导委员会办公室组织国家督学和专家对社会认可度调查结果符合要求的申报县进行指标审核。</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第十二条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指标审核执行《县域义务教育优质均衡发展督导评估办法》规定的标准。具体要求如下：</w:t>
      </w:r>
    </w:p>
    <w:p>
      <w:pPr>
        <w:pStyle w:val="10"/>
        <w:keepNext w:val="0"/>
        <w:keepLines w:val="0"/>
        <w:pageBreakBefore w:val="0"/>
        <w:widowControl w:val="0"/>
        <w:shd w:val="clear" w:color="auto" w:fill="auto"/>
        <w:tabs>
          <w:tab w:val="left" w:pos="1770"/>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bookmarkStart w:id="35" w:name="bookmark29"/>
      <w:r>
        <w:rPr>
          <w:rFonts w:hint="eastAsia" w:ascii="方正仿宋_GBK" w:hAnsi="方正仿宋_GBK" w:eastAsia="方正仿宋_GBK" w:cs="方正仿宋_GBK"/>
          <w:color w:val="auto"/>
          <w:spacing w:val="0"/>
          <w:w w:val="100"/>
          <w:position w:val="0"/>
          <w:sz w:val="32"/>
          <w:szCs w:val="32"/>
        </w:rPr>
        <w:t>（</w:t>
      </w:r>
      <w:bookmarkEnd w:id="35"/>
      <w:r>
        <w:rPr>
          <w:rFonts w:hint="eastAsia" w:ascii="方正仿宋_GBK" w:hAnsi="方正仿宋_GBK" w:eastAsia="方正仿宋_GBK" w:cs="方正仿宋_GBK"/>
          <w:color w:val="auto"/>
          <w:spacing w:val="0"/>
          <w:w w:val="100"/>
          <w:position w:val="0"/>
          <w:sz w:val="32"/>
          <w:szCs w:val="32"/>
        </w:rPr>
        <w:t>一）对于一个独立代码、一个独立法人、但有多个校区的</w:t>
      </w:r>
      <w:r>
        <w:rPr>
          <w:rFonts w:hint="eastAsia" w:ascii="方正仿宋_GBK" w:hAnsi="方正仿宋_GBK" w:eastAsia="方正仿宋_GBK" w:cs="方正仿宋_GBK"/>
          <w:color w:val="auto"/>
          <w:spacing w:val="0"/>
          <w:w w:val="100"/>
          <w:position w:val="0"/>
          <w:sz w:val="32"/>
          <w:szCs w:val="32"/>
          <w:lang w:val="zh-CN" w:eastAsia="zh-CN" w:bidi="zh-CN"/>
        </w:rPr>
        <w:t>“学</w:t>
      </w:r>
      <w:r>
        <w:rPr>
          <w:rFonts w:hint="eastAsia" w:ascii="方正仿宋_GBK" w:hAnsi="方正仿宋_GBK" w:eastAsia="方正仿宋_GBK" w:cs="方正仿宋_GBK"/>
          <w:color w:val="auto"/>
          <w:spacing w:val="0"/>
          <w:w w:val="100"/>
          <w:position w:val="0"/>
          <w:sz w:val="32"/>
          <w:szCs w:val="32"/>
        </w:rPr>
        <w:t>校”，以独立校区为统计单位。其中，对于教师在多校区上课的，记入其人事档案管理所在校区；</w:t>
      </w:r>
    </w:p>
    <w:p>
      <w:pPr>
        <w:pStyle w:val="10"/>
        <w:keepNext w:val="0"/>
        <w:keepLines w:val="0"/>
        <w:pageBreakBefore w:val="0"/>
        <w:widowControl w:val="0"/>
        <w:shd w:val="clear" w:color="auto" w:fill="auto"/>
        <w:tabs>
          <w:tab w:val="left" w:pos="1770"/>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bookmarkStart w:id="36" w:name="bookmark30"/>
      <w:r>
        <w:rPr>
          <w:rFonts w:hint="eastAsia" w:ascii="方正仿宋_GBK" w:hAnsi="方正仿宋_GBK" w:eastAsia="方正仿宋_GBK" w:cs="方正仿宋_GBK"/>
          <w:color w:val="auto"/>
          <w:spacing w:val="0"/>
          <w:w w:val="100"/>
          <w:position w:val="0"/>
          <w:sz w:val="32"/>
          <w:szCs w:val="32"/>
        </w:rPr>
        <w:t>（</w:t>
      </w:r>
      <w:bookmarkEnd w:id="36"/>
      <w:r>
        <w:rPr>
          <w:rFonts w:hint="eastAsia" w:ascii="方正仿宋_GBK" w:hAnsi="方正仿宋_GBK" w:eastAsia="方正仿宋_GBK" w:cs="方正仿宋_GBK"/>
          <w:color w:val="auto"/>
          <w:spacing w:val="0"/>
          <w:w w:val="100"/>
          <w:position w:val="0"/>
          <w:sz w:val="32"/>
          <w:szCs w:val="32"/>
        </w:rPr>
        <w:t>二）除“平均工资收入水平”</w:t>
      </w:r>
      <w:r>
        <w:rPr>
          <w:rFonts w:hint="eastAsia" w:ascii="方正仿宋_GBK" w:hAnsi="方正仿宋_GBK" w:eastAsia="方正仿宋_GBK" w:cs="方正仿宋_GBK"/>
          <w:color w:val="auto"/>
          <w:spacing w:val="0"/>
          <w:w w:val="100"/>
          <w:position w:val="0"/>
          <w:sz w:val="32"/>
          <w:szCs w:val="32"/>
          <w:lang w:val="zh-CN" w:eastAsia="zh-CN" w:bidi="zh-CN"/>
        </w:rPr>
        <w:t>、“县</w:t>
      </w:r>
      <w:r>
        <w:rPr>
          <w:rFonts w:hint="eastAsia" w:ascii="方正仿宋_GBK" w:hAnsi="方正仿宋_GBK" w:eastAsia="方正仿宋_GBK" w:cs="方正仿宋_GBK"/>
          <w:color w:val="auto"/>
          <w:spacing w:val="0"/>
          <w:w w:val="100"/>
          <w:position w:val="0"/>
          <w:sz w:val="32"/>
          <w:szCs w:val="32"/>
        </w:rPr>
        <w:t>级教育行政部门在核定的教职工编制总额和岗位总量内，统筹分配各校教职工编制和岗位数量”、</w:t>
      </w:r>
      <w:r>
        <w:rPr>
          <w:rFonts w:hint="eastAsia" w:ascii="方正仿宋_GBK" w:hAnsi="方正仿宋_GBK" w:eastAsia="方正仿宋_GBK" w:cs="方正仿宋_GBK"/>
          <w:color w:val="auto"/>
          <w:spacing w:val="0"/>
          <w:w w:val="100"/>
          <w:position w:val="0"/>
          <w:sz w:val="32"/>
          <w:szCs w:val="32"/>
          <w:lang w:val="zh-CN" w:eastAsia="zh-CN" w:bidi="zh-CN"/>
        </w:rPr>
        <w:t>“教师</w:t>
      </w:r>
      <w:r>
        <w:rPr>
          <w:rFonts w:hint="eastAsia" w:ascii="方正仿宋_GBK" w:hAnsi="方正仿宋_GBK" w:eastAsia="方正仿宋_GBK" w:cs="方正仿宋_GBK"/>
          <w:color w:val="auto"/>
          <w:spacing w:val="0"/>
          <w:w w:val="100"/>
          <w:position w:val="0"/>
          <w:sz w:val="32"/>
          <w:szCs w:val="32"/>
        </w:rPr>
        <w:t>交流轮岗比例”外，其他指标均包含县域内民办学校；</w:t>
      </w:r>
    </w:p>
    <w:p>
      <w:pPr>
        <w:pStyle w:val="10"/>
        <w:keepNext w:val="0"/>
        <w:keepLines w:val="0"/>
        <w:pageBreakBefore w:val="0"/>
        <w:widowControl w:val="0"/>
        <w:shd w:val="clear" w:color="auto" w:fill="auto"/>
        <w:tabs>
          <w:tab w:val="left" w:pos="1770"/>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bookmarkStart w:id="37" w:name="bookmark31"/>
      <w:r>
        <w:rPr>
          <w:rFonts w:hint="eastAsia" w:ascii="方正仿宋_GBK" w:hAnsi="方正仿宋_GBK" w:eastAsia="方正仿宋_GBK" w:cs="方正仿宋_GBK"/>
          <w:color w:val="auto"/>
          <w:spacing w:val="0"/>
          <w:w w:val="100"/>
          <w:position w:val="0"/>
          <w:sz w:val="32"/>
          <w:szCs w:val="32"/>
        </w:rPr>
        <w:t>（</w:t>
      </w:r>
      <w:bookmarkEnd w:id="37"/>
      <w:r>
        <w:rPr>
          <w:rFonts w:hint="eastAsia" w:ascii="方正仿宋_GBK" w:hAnsi="方正仿宋_GBK" w:eastAsia="方正仿宋_GBK" w:cs="方正仿宋_GBK"/>
          <w:color w:val="auto"/>
          <w:spacing w:val="0"/>
          <w:w w:val="100"/>
          <w:position w:val="0"/>
          <w:sz w:val="32"/>
          <w:szCs w:val="32"/>
        </w:rPr>
        <w:t>三）职业学校不得附设普通小学班、初中班；</w:t>
      </w:r>
    </w:p>
    <w:p>
      <w:pPr>
        <w:pStyle w:val="10"/>
        <w:keepNext w:val="0"/>
        <w:keepLines w:val="0"/>
        <w:pageBreakBefore w:val="0"/>
        <w:widowControl w:val="0"/>
        <w:shd w:val="clear" w:color="auto" w:fill="auto"/>
        <w:tabs>
          <w:tab w:val="left" w:pos="1770"/>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bookmarkStart w:id="38" w:name="bookmark32"/>
      <w:r>
        <w:rPr>
          <w:rFonts w:hint="eastAsia" w:ascii="方正仿宋_GBK" w:hAnsi="方正仿宋_GBK" w:eastAsia="方正仿宋_GBK" w:cs="方正仿宋_GBK"/>
          <w:color w:val="auto"/>
          <w:spacing w:val="0"/>
          <w:w w:val="100"/>
          <w:position w:val="0"/>
          <w:sz w:val="32"/>
          <w:szCs w:val="32"/>
        </w:rPr>
        <w:t>（</w:t>
      </w:r>
      <w:bookmarkEnd w:id="38"/>
      <w:r>
        <w:rPr>
          <w:rFonts w:hint="eastAsia" w:ascii="方正仿宋_GBK" w:hAnsi="方正仿宋_GBK" w:eastAsia="方正仿宋_GBK" w:cs="方正仿宋_GBK"/>
          <w:color w:val="auto"/>
          <w:spacing w:val="0"/>
          <w:w w:val="100"/>
          <w:position w:val="0"/>
          <w:sz w:val="32"/>
          <w:szCs w:val="32"/>
        </w:rPr>
        <w:t>四）统计体育、艺术（美术、音乐）专任教师数时,对</w:t>
      </w:r>
      <w:r>
        <w:rPr>
          <w:rFonts w:hint="eastAsia" w:ascii="方正仿宋_GBK" w:hAnsi="方正仿宋_GBK" w:eastAsia="方正仿宋_GBK" w:cs="方正仿宋_GBK"/>
          <w:b w:val="0"/>
          <w:i w:val="0"/>
          <w:color w:val="auto"/>
          <w:spacing w:val="0"/>
          <w:w w:val="100"/>
          <w:position w:val="0"/>
          <w:sz w:val="32"/>
          <w:szCs w:val="32"/>
          <w:lang w:eastAsia="zh-CN"/>
        </w:rPr>
        <w:t>50</w:t>
      </w:r>
      <w:r>
        <w:rPr>
          <w:rFonts w:hint="eastAsia" w:ascii="方正仿宋_GBK" w:hAnsi="方正仿宋_GBK" w:eastAsia="方正仿宋_GBK" w:cs="方正仿宋_GBK"/>
          <w:color w:val="auto"/>
          <w:spacing w:val="0"/>
          <w:w w:val="100"/>
          <w:position w:val="0"/>
          <w:sz w:val="32"/>
          <w:szCs w:val="32"/>
        </w:rPr>
        <w:t>人及以上但不足</w:t>
      </w:r>
      <w:r>
        <w:rPr>
          <w:rFonts w:hint="eastAsia" w:ascii="方正仿宋_GBK" w:hAnsi="方正仿宋_GBK" w:eastAsia="方正仿宋_GBK" w:cs="方正仿宋_GBK"/>
          <w:b w:val="0"/>
          <w:i w:val="0"/>
          <w:color w:val="auto"/>
          <w:spacing w:val="0"/>
          <w:w w:val="100"/>
          <w:position w:val="0"/>
          <w:sz w:val="32"/>
          <w:szCs w:val="32"/>
          <w:lang w:eastAsia="zh-CN"/>
        </w:rPr>
        <w:t>100</w:t>
      </w:r>
      <w:r>
        <w:rPr>
          <w:rFonts w:hint="eastAsia" w:ascii="方正仿宋_GBK" w:hAnsi="方正仿宋_GBK" w:eastAsia="方正仿宋_GBK" w:cs="方正仿宋_GBK"/>
          <w:color w:val="auto"/>
          <w:spacing w:val="0"/>
          <w:w w:val="100"/>
          <w:position w:val="0"/>
          <w:sz w:val="32"/>
          <w:szCs w:val="32"/>
        </w:rPr>
        <w:t>人的农村小规模学校和教学点，可包含交流轮岗、兼职、走教的体育和艺术（美术、音乐）教师；</w:t>
      </w:r>
    </w:p>
    <w:p>
      <w:pPr>
        <w:pStyle w:val="10"/>
        <w:keepNext w:val="0"/>
        <w:keepLines w:val="0"/>
        <w:pageBreakBefore w:val="0"/>
        <w:widowControl w:val="0"/>
        <w:shd w:val="clear" w:color="auto" w:fill="auto"/>
        <w:tabs>
          <w:tab w:val="left" w:pos="1770"/>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bookmarkStart w:id="39" w:name="bookmark33"/>
      <w:r>
        <w:rPr>
          <w:rFonts w:hint="eastAsia" w:ascii="方正仿宋_GBK" w:hAnsi="方正仿宋_GBK" w:eastAsia="方正仿宋_GBK" w:cs="方正仿宋_GBK"/>
          <w:color w:val="auto"/>
          <w:spacing w:val="0"/>
          <w:w w:val="100"/>
          <w:position w:val="0"/>
          <w:sz w:val="32"/>
          <w:szCs w:val="32"/>
        </w:rPr>
        <w:t>（</w:t>
      </w:r>
      <w:bookmarkEnd w:id="39"/>
      <w:r>
        <w:rPr>
          <w:rFonts w:hint="eastAsia" w:ascii="方正仿宋_GBK" w:hAnsi="方正仿宋_GBK" w:eastAsia="方正仿宋_GBK" w:cs="方正仿宋_GBK"/>
          <w:color w:val="auto"/>
          <w:spacing w:val="0"/>
          <w:w w:val="100"/>
          <w:position w:val="0"/>
          <w:sz w:val="32"/>
          <w:szCs w:val="32"/>
        </w:rPr>
        <w:t>五）近三年评估中，对于人口密度过高的大城市中心城区的学校，体育运动场馆面积可包括经改造（改建）后，能够满足学生运动需要的、专用的、安全的活动空间，如校园内部的地下、楼顶等区域设立的专用运动场地，由当地政府或教育部门与之签订了租赁合同、保障学校上课时间专用的校外周边体育场馆（可步行</w:t>
      </w:r>
      <w:r>
        <w:rPr>
          <w:rFonts w:hint="eastAsia" w:ascii="方正仿宋_GBK" w:hAnsi="方正仿宋_GBK" w:eastAsia="方正仿宋_GBK" w:cs="方正仿宋_GBK"/>
          <w:b w:val="0"/>
          <w:i w:val="0"/>
          <w:color w:val="auto"/>
          <w:spacing w:val="0"/>
          <w:w w:val="100"/>
          <w:position w:val="0"/>
          <w:sz w:val="32"/>
          <w:szCs w:val="32"/>
          <w:lang w:eastAsia="zh-CN"/>
        </w:rPr>
        <w:t>10</w:t>
      </w:r>
      <w:r>
        <w:rPr>
          <w:rFonts w:hint="eastAsia" w:ascii="方正仿宋_GBK" w:hAnsi="方正仿宋_GBK" w:eastAsia="方正仿宋_GBK" w:cs="方正仿宋_GBK"/>
          <w:color w:val="auto"/>
          <w:spacing w:val="0"/>
          <w:w w:val="100"/>
          <w:position w:val="0"/>
          <w:sz w:val="32"/>
          <w:szCs w:val="32"/>
        </w:rPr>
        <w:t>分钟内到达，且有安全的交通保证）；</w:t>
      </w:r>
    </w:p>
    <w:p>
      <w:pPr>
        <w:pStyle w:val="10"/>
        <w:keepNext w:val="0"/>
        <w:keepLines w:val="0"/>
        <w:pageBreakBefore w:val="0"/>
        <w:widowControl w:val="0"/>
        <w:shd w:val="clear" w:color="auto" w:fill="auto"/>
        <w:tabs>
          <w:tab w:val="left" w:pos="1770"/>
        </w:tabs>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pacing w:val="0"/>
          <w:w w:val="100"/>
          <w:position w:val="0"/>
          <w:sz w:val="32"/>
          <w:szCs w:val="32"/>
        </w:rPr>
        <w:t>（六）近三年评估中，对于在</w:t>
      </w:r>
      <w:r>
        <w:rPr>
          <w:rFonts w:hint="eastAsia" w:ascii="方正仿宋_GBK" w:hAnsi="方正仿宋_GBK" w:eastAsia="方正仿宋_GBK" w:cs="方正仿宋_GBK"/>
          <w:b w:val="0"/>
          <w:i w:val="0"/>
          <w:color w:val="auto"/>
          <w:spacing w:val="0"/>
          <w:w w:val="100"/>
          <w:position w:val="0"/>
          <w:sz w:val="32"/>
          <w:szCs w:val="32"/>
          <w:lang w:eastAsia="zh-CN"/>
        </w:rPr>
        <w:t>2016</w:t>
      </w:r>
      <w:r>
        <w:rPr>
          <w:rFonts w:hint="eastAsia" w:ascii="方正仿宋_GBK" w:hAnsi="方正仿宋_GBK" w:eastAsia="方正仿宋_GBK" w:cs="方正仿宋_GBK"/>
          <w:color w:val="auto"/>
          <w:spacing w:val="0"/>
          <w:w w:val="100"/>
          <w:position w:val="0"/>
          <w:sz w:val="32"/>
          <w:szCs w:val="32"/>
        </w:rPr>
        <w:t>年及之前规划并建成的学校，其音乐、美术专用教室单间使用面积按分别不低于</w:t>
      </w:r>
      <w:r>
        <w:rPr>
          <w:rFonts w:hint="eastAsia" w:ascii="方正仿宋_GBK" w:hAnsi="方正仿宋_GBK" w:eastAsia="方正仿宋_GBK" w:cs="方正仿宋_GBK"/>
          <w:b w:val="0"/>
          <w:i w:val="0"/>
          <w:color w:val="auto"/>
          <w:spacing w:val="0"/>
          <w:w w:val="100"/>
          <w:position w:val="0"/>
          <w:sz w:val="32"/>
          <w:szCs w:val="32"/>
          <w:lang w:eastAsia="zh-CN"/>
        </w:rPr>
        <w:t>73、67</w:t>
      </w:r>
      <w:r>
        <w:rPr>
          <w:rFonts w:hint="eastAsia" w:ascii="方正仿宋_GBK" w:hAnsi="方正仿宋_GBK" w:eastAsia="方正仿宋_GBK" w:cs="方正仿宋_GBK"/>
          <w:color w:val="auto"/>
          <w:spacing w:val="0"/>
          <w:w w:val="100"/>
          <w:position w:val="0"/>
          <w:sz w:val="32"/>
          <w:szCs w:val="32"/>
        </w:rPr>
        <w:t>平方米评估；对于最大班额低于</w:t>
      </w:r>
      <w:r>
        <w:rPr>
          <w:rFonts w:hint="eastAsia" w:ascii="方正仿宋_GBK" w:hAnsi="方正仿宋_GBK" w:eastAsia="方正仿宋_GBK" w:cs="方正仿宋_GBK"/>
          <w:b w:val="0"/>
          <w:i w:val="0"/>
          <w:color w:val="auto"/>
          <w:spacing w:val="0"/>
          <w:w w:val="100"/>
          <w:position w:val="0"/>
          <w:sz w:val="32"/>
          <w:szCs w:val="32"/>
          <w:lang w:eastAsia="zh-CN"/>
        </w:rPr>
        <w:t>30</w:t>
      </w:r>
      <w:r>
        <w:rPr>
          <w:rFonts w:hint="eastAsia" w:ascii="方正仿宋_GBK" w:hAnsi="方正仿宋_GBK" w:eastAsia="方正仿宋_GBK" w:cs="方正仿宋_GBK"/>
          <w:color w:val="auto"/>
          <w:spacing w:val="0"/>
          <w:w w:val="100"/>
          <w:position w:val="0"/>
          <w:sz w:val="32"/>
          <w:szCs w:val="32"/>
        </w:rPr>
        <w:t>人的农村小规模学校，按照小学音乐、美术教室单间使用面积均不低于</w:t>
      </w:r>
      <w:r>
        <w:rPr>
          <w:rFonts w:hint="eastAsia" w:ascii="方正仿宋_GBK" w:hAnsi="方正仿宋_GBK" w:eastAsia="方正仿宋_GBK" w:cs="方正仿宋_GBK"/>
          <w:b w:val="0"/>
          <w:i w:val="0"/>
          <w:color w:val="auto"/>
          <w:spacing w:val="0"/>
          <w:w w:val="100"/>
          <w:position w:val="0"/>
          <w:sz w:val="32"/>
          <w:szCs w:val="32"/>
          <w:lang w:eastAsia="zh-CN"/>
        </w:rPr>
        <w:t>54</w:t>
      </w:r>
      <w:r>
        <w:rPr>
          <w:rFonts w:hint="eastAsia" w:ascii="方正仿宋_GBK" w:hAnsi="方正仿宋_GBK" w:eastAsia="方正仿宋_GBK" w:cs="方正仿宋_GBK"/>
          <w:color w:val="auto"/>
          <w:spacing w:val="0"/>
          <w:w w:val="100"/>
          <w:position w:val="0"/>
          <w:sz w:val="32"/>
          <w:szCs w:val="32"/>
        </w:rPr>
        <w:t>平方米、初中均不低于</w:t>
      </w:r>
      <w:r>
        <w:rPr>
          <w:rFonts w:hint="eastAsia" w:ascii="方正仿宋_GBK" w:hAnsi="方正仿宋_GBK" w:eastAsia="方正仿宋_GBK" w:cs="方正仿宋_GBK"/>
          <w:b w:val="0"/>
          <w:i w:val="0"/>
          <w:color w:val="auto"/>
          <w:spacing w:val="0"/>
          <w:w w:val="100"/>
          <w:position w:val="0"/>
          <w:sz w:val="32"/>
          <w:szCs w:val="32"/>
          <w:lang w:eastAsia="zh-CN"/>
        </w:rPr>
        <w:t>61</w:t>
      </w:r>
      <w:r>
        <w:rPr>
          <w:rFonts w:hint="eastAsia" w:ascii="方正仿宋_GBK" w:hAnsi="方正仿宋_GBK" w:eastAsia="方正仿宋_GBK" w:cs="方正仿宋_GBK"/>
          <w:color w:val="auto"/>
          <w:spacing w:val="0"/>
          <w:w w:val="100"/>
          <w:position w:val="0"/>
          <w:sz w:val="32"/>
          <w:szCs w:val="32"/>
        </w:rPr>
        <w:t>平方米评估。同时要求各地做出建设规划，评估后持续跟踪复查，认定后三年之内达到规定标准要求；</w:t>
      </w:r>
    </w:p>
    <w:p>
      <w:pPr>
        <w:pStyle w:val="10"/>
        <w:keepNext w:val="0"/>
        <w:keepLines w:val="0"/>
        <w:pageBreakBefore w:val="0"/>
        <w:widowControl w:val="0"/>
        <w:shd w:val="clear" w:color="auto" w:fill="auto"/>
        <w:tabs>
          <w:tab w:val="left" w:pos="1598"/>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bookmarkStart w:id="40" w:name="bookmark35"/>
      <w:r>
        <w:rPr>
          <w:rFonts w:hint="eastAsia" w:ascii="方正仿宋_GBK" w:hAnsi="方正仿宋_GBK" w:eastAsia="方正仿宋_GBK" w:cs="方正仿宋_GBK"/>
          <w:color w:val="auto"/>
          <w:spacing w:val="0"/>
          <w:w w:val="100"/>
          <w:position w:val="0"/>
          <w:sz w:val="32"/>
          <w:szCs w:val="32"/>
        </w:rPr>
        <w:t>（</w:t>
      </w:r>
      <w:bookmarkEnd w:id="40"/>
      <w:r>
        <w:rPr>
          <w:rFonts w:hint="eastAsia" w:ascii="方正仿宋_GBK" w:hAnsi="方正仿宋_GBK" w:eastAsia="方正仿宋_GBK" w:cs="方正仿宋_GBK"/>
          <w:color w:val="auto"/>
          <w:spacing w:val="0"/>
          <w:w w:val="100"/>
          <w:position w:val="0"/>
          <w:sz w:val="32"/>
          <w:szCs w:val="32"/>
        </w:rPr>
        <w:t>七）近三年评估中，对于</w:t>
      </w:r>
      <w:r>
        <w:rPr>
          <w:rFonts w:hint="eastAsia" w:ascii="方正仿宋_GBK" w:hAnsi="方正仿宋_GBK" w:eastAsia="方正仿宋_GBK" w:cs="方正仿宋_GBK"/>
          <w:b w:val="0"/>
          <w:i w:val="0"/>
          <w:color w:val="auto"/>
          <w:spacing w:val="0"/>
          <w:w w:val="100"/>
          <w:position w:val="0"/>
          <w:sz w:val="32"/>
          <w:szCs w:val="32"/>
          <w:lang w:eastAsia="zh-CN"/>
        </w:rPr>
        <w:t>2010</w:t>
      </w:r>
      <w:r>
        <w:rPr>
          <w:rFonts w:hint="eastAsia" w:ascii="方正仿宋_GBK" w:hAnsi="方正仿宋_GBK" w:eastAsia="方正仿宋_GBK" w:cs="方正仿宋_GBK"/>
          <w:color w:val="auto"/>
          <w:spacing w:val="0"/>
          <w:w w:val="100"/>
          <w:position w:val="0"/>
          <w:sz w:val="32"/>
          <w:szCs w:val="32"/>
        </w:rPr>
        <w:t>年及之前规划并建成的学校，以及进城务工人员随迁子女占比超过</w:t>
      </w:r>
      <w:r>
        <w:rPr>
          <w:rFonts w:hint="eastAsia" w:ascii="方正仿宋_GBK" w:hAnsi="方正仿宋_GBK" w:eastAsia="方正仿宋_GBK" w:cs="方正仿宋_GBK"/>
          <w:b w:val="0"/>
          <w:i w:val="0"/>
          <w:color w:val="auto"/>
          <w:spacing w:val="0"/>
          <w:w w:val="100"/>
          <w:position w:val="0"/>
          <w:sz w:val="32"/>
          <w:szCs w:val="32"/>
          <w:lang w:eastAsia="zh-CN"/>
        </w:rPr>
        <w:t>50%</w:t>
      </w:r>
      <w:r>
        <w:rPr>
          <w:rFonts w:hint="eastAsia" w:ascii="方正仿宋_GBK" w:hAnsi="方正仿宋_GBK" w:eastAsia="方正仿宋_GBK" w:cs="方正仿宋_GBK"/>
          <w:color w:val="auto"/>
          <w:spacing w:val="0"/>
          <w:w w:val="100"/>
          <w:position w:val="0"/>
          <w:sz w:val="32"/>
          <w:szCs w:val="32"/>
        </w:rPr>
        <w:t>的学校,其学校规模按小学、初中均不超过</w:t>
      </w:r>
      <w:r>
        <w:rPr>
          <w:rFonts w:hint="eastAsia" w:ascii="方正仿宋_GBK" w:hAnsi="方正仿宋_GBK" w:eastAsia="方正仿宋_GBK" w:cs="方正仿宋_GBK"/>
          <w:b w:val="0"/>
          <w:i w:val="0"/>
          <w:color w:val="auto"/>
          <w:spacing w:val="0"/>
          <w:w w:val="100"/>
          <w:position w:val="0"/>
          <w:sz w:val="32"/>
          <w:szCs w:val="32"/>
          <w:lang w:eastAsia="zh-CN"/>
        </w:rPr>
        <w:t>2400</w:t>
      </w:r>
      <w:r>
        <w:rPr>
          <w:rFonts w:hint="eastAsia" w:ascii="方正仿宋_GBK" w:hAnsi="方正仿宋_GBK" w:eastAsia="方正仿宋_GBK" w:cs="方正仿宋_GBK"/>
          <w:color w:val="auto"/>
          <w:spacing w:val="0"/>
          <w:w w:val="100"/>
          <w:position w:val="0"/>
          <w:sz w:val="32"/>
          <w:szCs w:val="32"/>
        </w:rPr>
        <w:t>人、九年一贯制学校不超过</w:t>
      </w:r>
      <w:r>
        <w:rPr>
          <w:rFonts w:hint="eastAsia" w:ascii="方正仿宋_GBK" w:hAnsi="方正仿宋_GBK" w:eastAsia="方正仿宋_GBK" w:cs="方正仿宋_GBK"/>
          <w:b w:val="0"/>
          <w:i w:val="0"/>
          <w:color w:val="auto"/>
          <w:spacing w:val="0"/>
          <w:w w:val="100"/>
          <w:position w:val="0"/>
          <w:sz w:val="32"/>
          <w:szCs w:val="32"/>
          <w:lang w:eastAsia="zh-CN"/>
        </w:rPr>
        <w:t>3000</w:t>
      </w:r>
      <w:r>
        <w:rPr>
          <w:rFonts w:hint="eastAsia" w:ascii="方正仿宋_GBK" w:hAnsi="方正仿宋_GBK" w:eastAsia="方正仿宋_GBK" w:cs="方正仿宋_GBK"/>
          <w:color w:val="auto"/>
          <w:spacing w:val="0"/>
          <w:w w:val="100"/>
          <w:position w:val="0"/>
          <w:sz w:val="32"/>
          <w:szCs w:val="32"/>
        </w:rPr>
        <w:t>人评估。同时要求各地做出建设规划，评估后持续跟踪复查，认定后三年之内达到规定标准要求；</w:t>
      </w:r>
    </w:p>
    <w:p>
      <w:pPr>
        <w:pStyle w:val="10"/>
        <w:keepNext w:val="0"/>
        <w:keepLines w:val="0"/>
        <w:pageBreakBefore w:val="0"/>
        <w:widowControl w:val="0"/>
        <w:shd w:val="clear" w:color="auto" w:fill="auto"/>
        <w:tabs>
          <w:tab w:val="left" w:pos="1603"/>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bookmarkStart w:id="41" w:name="bookmark36"/>
      <w:r>
        <w:rPr>
          <w:rFonts w:hint="eastAsia" w:ascii="方正仿宋_GBK" w:hAnsi="方正仿宋_GBK" w:eastAsia="方正仿宋_GBK" w:cs="方正仿宋_GBK"/>
          <w:color w:val="auto"/>
          <w:spacing w:val="0"/>
          <w:w w:val="100"/>
          <w:position w:val="0"/>
          <w:sz w:val="32"/>
          <w:szCs w:val="32"/>
        </w:rPr>
        <w:t>（</w:t>
      </w:r>
      <w:bookmarkEnd w:id="41"/>
      <w:r>
        <w:rPr>
          <w:rFonts w:hint="eastAsia" w:ascii="方正仿宋_GBK" w:hAnsi="方正仿宋_GBK" w:eastAsia="方正仿宋_GBK" w:cs="方正仿宋_GBK"/>
          <w:color w:val="auto"/>
          <w:spacing w:val="0"/>
          <w:w w:val="100"/>
          <w:position w:val="0"/>
          <w:sz w:val="32"/>
          <w:szCs w:val="32"/>
        </w:rPr>
        <w:t>八）对全县义务教育学校教师平均工资收入水平和当地公务员平均工资收入水平，按《国务院办公厅关于进一步保障义务教育教师工资待遇的通知》（国办发</w:t>
      </w:r>
      <w:r>
        <w:rPr>
          <w:rFonts w:hint="eastAsia" w:ascii="方正仿宋_GBK" w:hAnsi="方正仿宋_GBK" w:eastAsia="方正仿宋_GBK" w:cs="方正仿宋_GBK"/>
          <w:b w:val="0"/>
          <w:i w:val="0"/>
          <w:color w:val="auto"/>
          <w:spacing w:val="0"/>
          <w:w w:val="100"/>
          <w:position w:val="0"/>
          <w:sz w:val="32"/>
          <w:szCs w:val="32"/>
          <w:lang w:eastAsia="zh-CN"/>
        </w:rPr>
        <w:t>〔2018〕89</w:t>
      </w:r>
      <w:r>
        <w:rPr>
          <w:rFonts w:hint="eastAsia" w:ascii="方正仿宋_GBK" w:hAnsi="方正仿宋_GBK" w:eastAsia="方正仿宋_GBK" w:cs="方正仿宋_GBK"/>
          <w:color w:val="auto"/>
          <w:spacing w:val="0"/>
          <w:w w:val="100"/>
          <w:position w:val="0"/>
          <w:sz w:val="32"/>
          <w:szCs w:val="32"/>
        </w:rPr>
        <w:t>号）文件规定口径测算；</w:t>
      </w:r>
    </w:p>
    <w:p>
      <w:pPr>
        <w:pStyle w:val="10"/>
        <w:keepNext w:val="0"/>
        <w:keepLines w:val="0"/>
        <w:pageBreakBefore w:val="0"/>
        <w:widowControl w:val="0"/>
        <w:shd w:val="clear" w:color="auto" w:fill="auto"/>
        <w:tabs>
          <w:tab w:val="left" w:pos="1593"/>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bookmarkStart w:id="42" w:name="bookmark37"/>
      <w:r>
        <w:rPr>
          <w:rFonts w:hint="eastAsia" w:ascii="方正仿宋_GBK" w:hAnsi="方正仿宋_GBK" w:eastAsia="方正仿宋_GBK" w:cs="方正仿宋_GBK"/>
          <w:color w:val="auto"/>
          <w:spacing w:val="0"/>
          <w:w w:val="100"/>
          <w:position w:val="0"/>
          <w:sz w:val="32"/>
          <w:szCs w:val="32"/>
        </w:rPr>
        <w:t>（</w:t>
      </w:r>
      <w:bookmarkEnd w:id="42"/>
      <w:r>
        <w:rPr>
          <w:rFonts w:hint="eastAsia" w:ascii="方正仿宋_GBK" w:hAnsi="方正仿宋_GBK" w:eastAsia="方正仿宋_GBK" w:cs="方正仿宋_GBK"/>
          <w:color w:val="auto"/>
          <w:spacing w:val="0"/>
          <w:w w:val="100"/>
          <w:position w:val="0"/>
          <w:sz w:val="32"/>
          <w:szCs w:val="32"/>
        </w:rPr>
        <w:t>九）注重对德育、体育、美育、劳动教育的评估。对于劳动教育，重点审核是否有满足劳动教育需要的实践基地和场所、是否全面开设劳动课且劳动实践时间不少于综合实践活动课时的</w:t>
      </w:r>
      <w:r>
        <w:rPr>
          <w:rFonts w:hint="eastAsia" w:ascii="方正仿宋_GBK" w:hAnsi="方正仿宋_GBK" w:eastAsia="方正仿宋_GBK" w:cs="方正仿宋_GBK"/>
          <w:b w:val="0"/>
          <w:i w:val="0"/>
          <w:color w:val="auto"/>
          <w:spacing w:val="0"/>
          <w:w w:val="100"/>
          <w:position w:val="0"/>
          <w:sz w:val="32"/>
          <w:szCs w:val="32"/>
          <w:lang w:eastAsia="zh-CN"/>
        </w:rPr>
        <w:t>50</w:t>
      </w:r>
      <w:r>
        <w:rPr>
          <w:rFonts w:hint="eastAsia" w:ascii="方正仿宋_GBK" w:hAnsi="方正仿宋_GBK" w:eastAsia="方正仿宋_GBK" w:cs="方正仿宋_GBK"/>
          <w:color w:val="auto"/>
          <w:spacing w:val="0"/>
          <w:w w:val="100"/>
          <w:position w:val="0"/>
          <w:sz w:val="32"/>
          <w:szCs w:val="32"/>
          <w:lang w:eastAsia="zh-CN"/>
        </w:rPr>
        <w:t>%</w:t>
      </w:r>
      <w:r>
        <w:rPr>
          <w:rFonts w:hint="eastAsia" w:ascii="方正仿宋_GBK" w:hAnsi="方正仿宋_GBK" w:eastAsia="方正仿宋_GBK" w:cs="方正仿宋_GBK"/>
          <w:color w:val="auto"/>
          <w:spacing w:val="0"/>
          <w:w w:val="100"/>
          <w:position w:val="0"/>
          <w:sz w:val="32"/>
          <w:szCs w:val="32"/>
        </w:rPr>
        <w:t>、是否为学校配备专兼职相结合的劳动教育教师。</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第十三条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国务院教育督导委员会办公室根据指标审核情况，形成各项指标达标情况结论，并对是否通过材料审核提出结论意见。</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pacing w:val="0"/>
          <w:w w:val="100"/>
          <w:position w:val="0"/>
          <w:sz w:val="32"/>
          <w:szCs w:val="32"/>
        </w:rPr>
        <w:t>对于通过材料审核需要进行实地核查的县，列出</w:t>
      </w:r>
      <w:r>
        <w:rPr>
          <w:rFonts w:hint="eastAsia" w:ascii="方正仿宋_GBK" w:hAnsi="方正仿宋_GBK" w:eastAsia="方正仿宋_GBK" w:cs="方正仿宋_GBK"/>
          <w:color w:val="auto"/>
          <w:spacing w:val="0"/>
          <w:w w:val="100"/>
          <w:position w:val="0"/>
          <w:sz w:val="32"/>
          <w:szCs w:val="32"/>
          <w:lang w:val="zh-CN" w:eastAsia="zh-CN" w:bidi="zh-CN"/>
        </w:rPr>
        <w:t>“实</w:t>
      </w:r>
      <w:r>
        <w:rPr>
          <w:rFonts w:hint="eastAsia" w:ascii="方正仿宋_GBK" w:hAnsi="方正仿宋_GBK" w:eastAsia="方正仿宋_GBK" w:cs="方正仿宋_GBK"/>
          <w:color w:val="auto"/>
          <w:spacing w:val="0"/>
          <w:w w:val="100"/>
          <w:position w:val="0"/>
          <w:sz w:val="32"/>
          <w:szCs w:val="32"/>
        </w:rPr>
        <w:t>地核查重点事项清单”，主要包括以下内容：</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bookmarkStart w:id="43" w:name="bookmark38"/>
      <w:r>
        <w:rPr>
          <w:rFonts w:hint="eastAsia" w:ascii="方正仿宋_GBK" w:hAnsi="方正仿宋_GBK" w:eastAsia="方正仿宋_GBK" w:cs="方正仿宋_GBK"/>
          <w:color w:val="auto"/>
          <w:spacing w:val="0"/>
          <w:w w:val="100"/>
          <w:position w:val="0"/>
          <w:sz w:val="32"/>
          <w:szCs w:val="32"/>
        </w:rPr>
        <w:t>（</w:t>
      </w:r>
      <w:bookmarkEnd w:id="43"/>
      <w:r>
        <w:rPr>
          <w:rFonts w:hint="eastAsia" w:ascii="方正仿宋_GBK" w:hAnsi="方正仿宋_GBK" w:eastAsia="方正仿宋_GBK" w:cs="方正仿宋_GBK"/>
          <w:color w:val="auto"/>
          <w:spacing w:val="0"/>
          <w:w w:val="100"/>
          <w:position w:val="0"/>
          <w:sz w:val="32"/>
          <w:szCs w:val="32"/>
        </w:rPr>
        <w:t>一）定量指标原始数据或测算方法存在疑问的；</w:t>
      </w:r>
    </w:p>
    <w:p>
      <w:pPr>
        <w:pStyle w:val="10"/>
        <w:keepNext w:val="0"/>
        <w:keepLines w:val="0"/>
        <w:pageBreakBefore w:val="0"/>
        <w:widowControl w:val="0"/>
        <w:shd w:val="clear" w:color="auto" w:fill="auto"/>
        <w:tabs>
          <w:tab w:val="left" w:pos="1813"/>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bookmarkStart w:id="44" w:name="bookmark39"/>
      <w:r>
        <w:rPr>
          <w:rFonts w:hint="eastAsia" w:ascii="方正仿宋_GBK" w:hAnsi="方正仿宋_GBK" w:eastAsia="方正仿宋_GBK" w:cs="方正仿宋_GBK"/>
          <w:color w:val="auto"/>
          <w:spacing w:val="0"/>
          <w:w w:val="100"/>
          <w:position w:val="0"/>
          <w:sz w:val="32"/>
          <w:szCs w:val="32"/>
        </w:rPr>
        <w:t>（</w:t>
      </w:r>
      <w:bookmarkEnd w:id="44"/>
      <w:r>
        <w:rPr>
          <w:rFonts w:hint="eastAsia" w:ascii="方正仿宋_GBK" w:hAnsi="方正仿宋_GBK" w:eastAsia="方正仿宋_GBK" w:cs="方正仿宋_GBK"/>
          <w:color w:val="auto"/>
          <w:spacing w:val="0"/>
          <w:w w:val="100"/>
          <w:position w:val="0"/>
          <w:sz w:val="32"/>
          <w:szCs w:val="32"/>
        </w:rPr>
        <w:t>二）定性指标信息不充分，不足以形成认定结论的；</w:t>
      </w:r>
    </w:p>
    <w:p>
      <w:pPr>
        <w:pStyle w:val="10"/>
        <w:keepNext w:val="0"/>
        <w:keepLines w:val="0"/>
        <w:pageBreakBefore w:val="0"/>
        <w:widowControl w:val="0"/>
        <w:shd w:val="clear" w:color="auto" w:fill="auto"/>
        <w:tabs>
          <w:tab w:val="left" w:pos="1813"/>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lang w:eastAsia="zh-CN"/>
        </w:rPr>
      </w:pPr>
      <w:bookmarkStart w:id="45" w:name="bookmark40"/>
      <w:r>
        <w:rPr>
          <w:rFonts w:hint="eastAsia" w:ascii="方正仿宋_GBK" w:hAnsi="方正仿宋_GBK" w:eastAsia="方正仿宋_GBK" w:cs="方正仿宋_GBK"/>
          <w:color w:val="auto"/>
          <w:spacing w:val="0"/>
          <w:w w:val="100"/>
          <w:position w:val="0"/>
          <w:sz w:val="32"/>
          <w:szCs w:val="32"/>
        </w:rPr>
        <w:t>（</w:t>
      </w:r>
      <w:bookmarkEnd w:id="45"/>
      <w:r>
        <w:rPr>
          <w:rFonts w:hint="eastAsia" w:ascii="方正仿宋_GBK" w:hAnsi="方正仿宋_GBK" w:eastAsia="方正仿宋_GBK" w:cs="方正仿宋_GBK"/>
          <w:color w:val="auto"/>
          <w:spacing w:val="0"/>
          <w:w w:val="100"/>
          <w:position w:val="0"/>
          <w:sz w:val="32"/>
          <w:szCs w:val="32"/>
        </w:rPr>
        <w:t>三）不同渠道信息存在不一致，需要进行实地核实的</w:t>
      </w:r>
      <w:r>
        <w:rPr>
          <w:rFonts w:hint="eastAsia" w:ascii="方正仿宋_GBK" w:hAnsi="方正仿宋_GBK" w:eastAsia="方正仿宋_GBK" w:cs="方正仿宋_GBK"/>
          <w:color w:val="auto"/>
          <w:spacing w:val="0"/>
          <w:w w:val="100"/>
          <w:position w:val="0"/>
          <w:sz w:val="32"/>
          <w:szCs w:val="32"/>
          <w:lang w:eastAsia="zh-CN"/>
        </w:rPr>
        <w:t>；</w:t>
      </w:r>
    </w:p>
    <w:p>
      <w:pPr>
        <w:pStyle w:val="10"/>
        <w:keepNext w:val="0"/>
        <w:keepLines w:val="0"/>
        <w:pageBreakBefore w:val="0"/>
        <w:widowControl w:val="0"/>
        <w:shd w:val="clear" w:color="auto" w:fill="auto"/>
        <w:tabs>
          <w:tab w:val="left" w:pos="1813"/>
        </w:tabs>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pacing w:val="0"/>
          <w:w w:val="100"/>
          <w:position w:val="0"/>
          <w:sz w:val="32"/>
          <w:szCs w:val="32"/>
        </w:rPr>
      </w:pPr>
      <w:bookmarkStart w:id="46" w:name="bookmark41"/>
      <w:r>
        <w:rPr>
          <w:rFonts w:hint="eastAsia" w:ascii="方正仿宋_GBK" w:hAnsi="方正仿宋_GBK" w:eastAsia="方正仿宋_GBK" w:cs="方正仿宋_GBK"/>
          <w:color w:val="auto"/>
          <w:spacing w:val="0"/>
          <w:w w:val="100"/>
          <w:position w:val="0"/>
          <w:sz w:val="32"/>
          <w:szCs w:val="32"/>
        </w:rPr>
        <w:t>（</w:t>
      </w:r>
      <w:bookmarkEnd w:id="46"/>
      <w:r>
        <w:rPr>
          <w:rFonts w:hint="eastAsia" w:ascii="方正仿宋_GBK" w:hAnsi="方正仿宋_GBK" w:eastAsia="方正仿宋_GBK" w:cs="方正仿宋_GBK"/>
          <w:color w:val="auto"/>
          <w:spacing w:val="0"/>
          <w:w w:val="100"/>
          <w:position w:val="0"/>
          <w:sz w:val="32"/>
          <w:szCs w:val="32"/>
        </w:rPr>
        <w:t>四）其他审核组认为有必要进行实地核实的。</w:t>
      </w:r>
      <w:bookmarkStart w:id="47" w:name="bookmark44"/>
      <w:bookmarkStart w:id="48" w:name="bookmark43"/>
      <w:bookmarkStart w:id="49" w:name="bookmark42"/>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黑体_GBK" w:hAnsi="方正黑体_GBK" w:eastAsia="方正黑体_GBK" w:cs="方正黑体_GBK"/>
          <w:color w:val="auto"/>
          <w:sz w:val="32"/>
          <w:szCs w:val="32"/>
        </w:rPr>
      </w:pPr>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color w:val="auto"/>
        </w:rPr>
      </w:pPr>
      <w:r>
        <w:rPr>
          <w:rFonts w:hint="eastAsia" w:ascii="方正黑体_GBK" w:hAnsi="方正黑体_GBK" w:eastAsia="方正黑体_GBK" w:cs="方正黑体_GBK"/>
          <w:color w:val="auto"/>
          <w:sz w:val="32"/>
          <w:szCs w:val="32"/>
        </w:rPr>
        <w:t>第五章</w:t>
      </w:r>
      <w:r>
        <w:rPr>
          <w:rFonts w:hint="eastAsia" w:ascii="方正黑体_GBK" w:hAnsi="方正黑体_GBK" w:eastAsia="方正黑体_GBK" w:cs="方正黑体_GBK"/>
          <w:color w:val="auto"/>
          <w:sz w:val="32"/>
          <w:szCs w:val="32"/>
          <w:lang w:val="en-US" w:eastAsia="zh-CN"/>
        </w:rPr>
        <w:t xml:space="preserve">  </w:t>
      </w:r>
      <w:r>
        <w:rPr>
          <w:rFonts w:hint="eastAsia" w:ascii="方正黑体_GBK" w:hAnsi="方正黑体_GBK" w:eastAsia="方正黑体_GBK" w:cs="方正黑体_GBK"/>
          <w:color w:val="auto"/>
          <w:sz w:val="32"/>
          <w:szCs w:val="32"/>
        </w:rPr>
        <w:t>实地核查</w:t>
      </w:r>
      <w:bookmarkEnd w:id="47"/>
      <w:bookmarkEnd w:id="48"/>
      <w:bookmarkEnd w:id="49"/>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第十四条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国务院教育督导委员会办公室根据资格审核结果、社会认可度调查结果和指标审核结果，以省为单位在当年申报县中抽取部分县进行实地核查。</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第十五条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实地核查以《县域义务教育优质均衡发展督导评估办法》规定指标为内容，以材料审核后提供的</w:t>
      </w:r>
      <w:r>
        <w:rPr>
          <w:rFonts w:hint="eastAsia" w:ascii="方正仿宋_GBK" w:hAnsi="方正仿宋_GBK" w:eastAsia="方正仿宋_GBK" w:cs="方正仿宋_GBK"/>
          <w:color w:val="auto"/>
          <w:spacing w:val="0"/>
          <w:w w:val="100"/>
          <w:position w:val="0"/>
          <w:sz w:val="32"/>
          <w:szCs w:val="32"/>
          <w:lang w:val="zh-CN" w:eastAsia="zh-CN" w:bidi="zh-CN"/>
        </w:rPr>
        <w:t>“实</w:t>
      </w:r>
      <w:r>
        <w:rPr>
          <w:rFonts w:hint="eastAsia" w:ascii="方正仿宋_GBK" w:hAnsi="方正仿宋_GBK" w:eastAsia="方正仿宋_GBK" w:cs="方正仿宋_GBK"/>
          <w:color w:val="auto"/>
          <w:spacing w:val="0"/>
          <w:w w:val="100"/>
          <w:position w:val="0"/>
          <w:sz w:val="32"/>
          <w:szCs w:val="32"/>
        </w:rPr>
        <w:t>地核查重点事项清单”为重点。</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第十六条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以省为单位组织实地核查组，每个实地核查组设组长</w:t>
      </w:r>
      <w:r>
        <w:rPr>
          <w:rFonts w:hint="eastAsia" w:ascii="方正仿宋_GBK" w:hAnsi="方正仿宋_GBK" w:eastAsia="方正仿宋_GBK" w:cs="方正仿宋_GBK"/>
          <w:b w:val="0"/>
          <w:i w:val="0"/>
          <w:color w:val="auto"/>
          <w:spacing w:val="0"/>
          <w:w w:val="100"/>
          <w:position w:val="0"/>
          <w:sz w:val="32"/>
          <w:szCs w:val="32"/>
          <w:lang w:eastAsia="zh-CN"/>
        </w:rPr>
        <w:t>1</w:t>
      </w:r>
      <w:r>
        <w:rPr>
          <w:rFonts w:hint="eastAsia" w:ascii="方正仿宋_GBK" w:hAnsi="方正仿宋_GBK" w:eastAsia="方正仿宋_GBK" w:cs="方正仿宋_GBK"/>
          <w:color w:val="auto"/>
          <w:spacing w:val="0"/>
          <w:w w:val="100"/>
          <w:position w:val="0"/>
          <w:sz w:val="32"/>
          <w:szCs w:val="32"/>
        </w:rPr>
        <w:t>名、副组长</w:t>
      </w:r>
      <w:r>
        <w:rPr>
          <w:rFonts w:hint="eastAsia" w:ascii="方正仿宋_GBK" w:hAnsi="方正仿宋_GBK" w:eastAsia="方正仿宋_GBK" w:cs="方正仿宋_GBK"/>
          <w:b w:val="0"/>
          <w:i w:val="0"/>
          <w:color w:val="auto"/>
          <w:spacing w:val="0"/>
          <w:w w:val="100"/>
          <w:position w:val="0"/>
          <w:sz w:val="32"/>
          <w:szCs w:val="32"/>
          <w:lang w:eastAsia="zh-CN"/>
        </w:rPr>
        <w:t>1—2</w:t>
      </w:r>
      <w:r>
        <w:rPr>
          <w:rFonts w:hint="eastAsia" w:ascii="方正仿宋_GBK" w:hAnsi="方正仿宋_GBK" w:eastAsia="方正仿宋_GBK" w:cs="方正仿宋_GBK"/>
          <w:color w:val="auto"/>
          <w:spacing w:val="0"/>
          <w:w w:val="100"/>
          <w:position w:val="0"/>
          <w:sz w:val="32"/>
          <w:szCs w:val="32"/>
        </w:rPr>
        <w:t>名，实行组长负责制。每个实地核查组一般设资源配置、师资队伍、行政管理和教育质量</w:t>
      </w:r>
      <w:r>
        <w:rPr>
          <w:rFonts w:hint="eastAsia" w:ascii="方正仿宋_GBK" w:hAnsi="方正仿宋_GBK" w:eastAsia="方正仿宋_GBK" w:cs="方正仿宋_GBK"/>
          <w:b w:val="0"/>
          <w:i w:val="0"/>
          <w:color w:val="auto"/>
          <w:spacing w:val="0"/>
          <w:w w:val="100"/>
          <w:position w:val="0"/>
          <w:sz w:val="32"/>
          <w:szCs w:val="32"/>
          <w:lang w:eastAsia="zh-CN"/>
        </w:rPr>
        <w:t>4</w:t>
      </w:r>
      <w:r>
        <w:rPr>
          <w:rFonts w:hint="eastAsia" w:ascii="方正仿宋_GBK" w:hAnsi="方正仿宋_GBK" w:eastAsia="方正仿宋_GBK" w:cs="方正仿宋_GBK"/>
          <w:color w:val="auto"/>
          <w:spacing w:val="0"/>
          <w:w w:val="100"/>
          <w:position w:val="0"/>
          <w:sz w:val="32"/>
          <w:szCs w:val="32"/>
        </w:rPr>
        <w:t>个小组。</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第十七条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实地核查组按照规定要求，安排对申报县政府及有关部门推进义务教育优质均衡发展工作情况进行评估。一般应安排召开县级政府汇报会、查访政府有关部门、核查档案资料、召开座谈会、随机访谈等。</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第十八条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实地核查组按照规定要求，安排对申报县有关义务教育学校、特殊教育学校进行抽样评估。抽取学校名单由国务院教育督导委员会办公室确定，实地核查组可根据实际情况补充抽样。</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pacing w:val="0"/>
          <w:w w:val="100"/>
          <w:position w:val="0"/>
          <w:sz w:val="32"/>
          <w:szCs w:val="32"/>
        </w:rPr>
        <w:t>实地核查组可视情况安排对部分幼儿园、高中进行延伸查访。</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0"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color w:val="auto"/>
          <w:spacing w:val="0"/>
          <w:w w:val="100"/>
          <w:position w:val="0"/>
          <w:sz w:val="32"/>
          <w:szCs w:val="32"/>
        </w:rPr>
        <w:t>到校评估时，实地核查组应开展教学活动观察、现场检查、随机访谈、核查档案资料等。</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第十九条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实地核查组应向申报县政府及所在市、省政府反馈评估意见，总结推进义务教育优质均衡发展工作的经验，重点指出存在问题，共同分析研判，指导改进工作。</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pacing w:val="0"/>
          <w:w w:val="100"/>
          <w:position w:val="0"/>
          <w:sz w:val="32"/>
          <w:szCs w:val="32"/>
        </w:rPr>
      </w:pPr>
      <w:r>
        <w:rPr>
          <w:rFonts w:hint="eastAsia" w:ascii="方正仿宋_GBK" w:hAnsi="方正仿宋_GBK" w:eastAsia="方正仿宋_GBK" w:cs="方正仿宋_GBK"/>
          <w:b/>
          <w:bCs/>
          <w:color w:val="auto"/>
          <w:spacing w:val="0"/>
          <w:w w:val="100"/>
          <w:position w:val="0"/>
          <w:sz w:val="32"/>
          <w:szCs w:val="32"/>
        </w:rPr>
        <w:t>第二十条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实地核查组形成单项指标评估结论意见，并对申报县</w:t>
      </w:r>
      <w:r>
        <w:rPr>
          <w:rFonts w:hint="eastAsia" w:ascii="方正仿宋_GBK" w:hAnsi="方正仿宋_GBK" w:eastAsia="方正仿宋_GBK" w:cs="方正仿宋_GBK"/>
          <w:color w:val="auto"/>
          <w:spacing w:val="0"/>
          <w:w w:val="100"/>
          <w:position w:val="0"/>
          <w:sz w:val="32"/>
          <w:szCs w:val="32"/>
          <w:lang w:val="zh-CN" w:eastAsia="zh-CN" w:bidi="zh-CN"/>
        </w:rPr>
        <w:t>“是否</w:t>
      </w:r>
      <w:r>
        <w:rPr>
          <w:rFonts w:hint="eastAsia" w:ascii="方正仿宋_GBK" w:hAnsi="方正仿宋_GBK" w:eastAsia="方正仿宋_GBK" w:cs="方正仿宋_GBK"/>
          <w:color w:val="auto"/>
          <w:spacing w:val="0"/>
          <w:w w:val="100"/>
          <w:position w:val="0"/>
          <w:sz w:val="32"/>
          <w:szCs w:val="32"/>
        </w:rPr>
        <w:t>通过评估认定</w:t>
      </w:r>
      <w:r>
        <w:rPr>
          <w:rFonts w:hint="eastAsia" w:ascii="方正仿宋_GBK" w:hAnsi="方正仿宋_GBK" w:eastAsia="方正仿宋_GBK" w:cs="方正仿宋_GBK"/>
          <w:color w:val="auto"/>
          <w:spacing w:val="0"/>
          <w:w w:val="100"/>
          <w:position w:val="0"/>
          <w:sz w:val="32"/>
          <w:szCs w:val="32"/>
          <w:lang w:val="en-US" w:eastAsia="zh-CN" w:bidi="en-US"/>
        </w:rPr>
        <w:t>”</w:t>
      </w:r>
      <w:r>
        <w:rPr>
          <w:rFonts w:hint="eastAsia" w:ascii="方正仿宋_GBK" w:hAnsi="方正仿宋_GBK" w:eastAsia="方正仿宋_GBK" w:cs="方正仿宋_GBK"/>
          <w:color w:val="auto"/>
          <w:spacing w:val="0"/>
          <w:w w:val="100"/>
          <w:position w:val="0"/>
          <w:sz w:val="32"/>
          <w:szCs w:val="32"/>
        </w:rPr>
        <w:t>形成综合评估结论意见，于督导评估后，向国务院教育督导委员会办公室提交书面报告。</w:t>
      </w:r>
      <w:bookmarkStart w:id="50" w:name="bookmark45"/>
      <w:bookmarkStart w:id="51" w:name="bookmark47"/>
      <w:bookmarkStart w:id="52" w:name="bookmark46"/>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黑体_GBK" w:hAnsi="方正黑体_GBK" w:eastAsia="方正黑体_GBK" w:cs="方正黑体_GBK"/>
          <w:color w:val="auto"/>
          <w:sz w:val="32"/>
          <w:szCs w:val="32"/>
        </w:rPr>
      </w:pPr>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黑体_GBK" w:hAnsi="方正黑体_GBK" w:eastAsia="方正黑体_GBK" w:cs="方正黑体_GBK"/>
          <w:color w:val="auto"/>
          <w:sz w:val="32"/>
          <w:szCs w:val="32"/>
        </w:rPr>
      </w:pPr>
      <w:r>
        <w:rPr>
          <w:rFonts w:hint="eastAsia" w:ascii="方正黑体_GBK" w:hAnsi="方正黑体_GBK" w:eastAsia="方正黑体_GBK" w:cs="方正黑体_GBK"/>
          <w:color w:val="auto"/>
          <w:sz w:val="32"/>
          <w:szCs w:val="32"/>
        </w:rPr>
        <w:t>第六章</w:t>
      </w:r>
      <w:r>
        <w:rPr>
          <w:rFonts w:hint="eastAsia" w:ascii="方正黑体_GBK" w:hAnsi="方正黑体_GBK" w:eastAsia="方正黑体_GBK" w:cs="方正黑体_GBK"/>
          <w:color w:val="auto"/>
          <w:sz w:val="32"/>
          <w:szCs w:val="32"/>
          <w:lang w:val="en-US" w:eastAsia="zh-CN"/>
        </w:rPr>
        <w:t xml:space="preserve">  </w:t>
      </w:r>
      <w:r>
        <w:rPr>
          <w:rFonts w:hint="eastAsia" w:ascii="方正黑体_GBK" w:hAnsi="方正黑体_GBK" w:eastAsia="方正黑体_GBK" w:cs="方正黑体_GBK"/>
          <w:color w:val="auto"/>
          <w:sz w:val="32"/>
          <w:szCs w:val="32"/>
        </w:rPr>
        <w:t>结果认定</w:t>
      </w:r>
      <w:bookmarkEnd w:id="50"/>
      <w:bookmarkEnd w:id="51"/>
      <w:bookmarkEnd w:id="52"/>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第二十一条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国务院教育督导委员会办公室根据各环节审核评估的结论意见，形成对申报县最终评估认定结论,拟定</w:t>
      </w:r>
      <w:r>
        <w:rPr>
          <w:rFonts w:hint="eastAsia" w:ascii="方正仿宋_GBK" w:hAnsi="方正仿宋_GBK" w:eastAsia="方正仿宋_GBK" w:cs="方正仿宋_GBK"/>
          <w:color w:val="auto"/>
          <w:spacing w:val="0"/>
          <w:w w:val="100"/>
          <w:position w:val="0"/>
          <w:sz w:val="32"/>
          <w:szCs w:val="32"/>
          <w:lang w:val="zh-CN" w:eastAsia="zh-CN" w:bidi="zh-CN"/>
        </w:rPr>
        <w:t>“义务</w:t>
      </w:r>
      <w:r>
        <w:rPr>
          <w:rFonts w:hint="eastAsia" w:ascii="方正仿宋_GBK" w:hAnsi="方正仿宋_GBK" w:eastAsia="方正仿宋_GBK" w:cs="方正仿宋_GBK"/>
          <w:color w:val="auto"/>
          <w:spacing w:val="0"/>
          <w:w w:val="100"/>
          <w:position w:val="0"/>
          <w:sz w:val="32"/>
          <w:szCs w:val="32"/>
        </w:rPr>
        <w:t>教育优质均衡发展县</w:t>
      </w:r>
      <w:r>
        <w:rPr>
          <w:rFonts w:hint="eastAsia" w:ascii="方正仿宋_GBK" w:hAnsi="方正仿宋_GBK" w:eastAsia="方正仿宋_GBK" w:cs="方正仿宋_GBK"/>
          <w:color w:val="auto"/>
          <w:spacing w:val="0"/>
          <w:w w:val="100"/>
          <w:position w:val="0"/>
          <w:sz w:val="32"/>
          <w:szCs w:val="32"/>
          <w:lang w:val="zh-CN" w:eastAsia="zh-CN" w:bidi="zh-CN"/>
        </w:rPr>
        <w:t>”名</w:t>
      </w:r>
      <w:r>
        <w:rPr>
          <w:rFonts w:hint="eastAsia" w:ascii="方正仿宋_GBK" w:hAnsi="方正仿宋_GBK" w:eastAsia="方正仿宋_GBK" w:cs="方正仿宋_GBK"/>
          <w:color w:val="auto"/>
          <w:spacing w:val="0"/>
          <w:w w:val="100"/>
          <w:position w:val="0"/>
          <w:sz w:val="32"/>
          <w:szCs w:val="32"/>
        </w:rPr>
        <w:t>单，并进行公示。公示无异议的，报国务院教育督导委员会最终认定。</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pacing w:val="0"/>
          <w:w w:val="100"/>
          <w:position w:val="0"/>
          <w:sz w:val="32"/>
          <w:szCs w:val="32"/>
        </w:rPr>
      </w:pPr>
      <w:r>
        <w:rPr>
          <w:rFonts w:hint="eastAsia" w:ascii="方正仿宋_GBK" w:hAnsi="方正仿宋_GBK" w:eastAsia="方正仿宋_GBK" w:cs="方正仿宋_GBK"/>
          <w:b/>
          <w:bCs/>
          <w:color w:val="auto"/>
          <w:spacing w:val="0"/>
          <w:w w:val="100"/>
          <w:position w:val="0"/>
          <w:sz w:val="32"/>
          <w:szCs w:val="32"/>
        </w:rPr>
        <w:t>第二十二条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国务院教育督导委员会印发决定，公布</w:t>
      </w:r>
      <w:r>
        <w:rPr>
          <w:rFonts w:hint="eastAsia" w:ascii="方正仿宋_GBK" w:hAnsi="方正仿宋_GBK" w:eastAsia="方正仿宋_GBK" w:cs="方正仿宋_GBK"/>
          <w:color w:val="auto"/>
          <w:spacing w:val="0"/>
          <w:w w:val="100"/>
          <w:position w:val="0"/>
          <w:sz w:val="32"/>
          <w:szCs w:val="32"/>
          <w:lang w:val="zh-CN" w:eastAsia="zh-CN" w:bidi="zh-CN"/>
        </w:rPr>
        <w:t>“义务</w:t>
      </w:r>
      <w:r>
        <w:rPr>
          <w:rFonts w:hint="eastAsia" w:ascii="方正仿宋_GBK" w:hAnsi="方正仿宋_GBK" w:eastAsia="方正仿宋_GBK" w:cs="方正仿宋_GBK"/>
          <w:color w:val="auto"/>
          <w:spacing w:val="0"/>
          <w:w w:val="100"/>
          <w:position w:val="0"/>
          <w:sz w:val="32"/>
          <w:szCs w:val="32"/>
        </w:rPr>
        <w:t>教育优质均衡发展县</w:t>
      </w:r>
      <w:r>
        <w:rPr>
          <w:rFonts w:hint="eastAsia" w:ascii="方正仿宋_GBK" w:hAnsi="方正仿宋_GBK" w:eastAsia="方正仿宋_GBK" w:cs="方正仿宋_GBK"/>
          <w:color w:val="auto"/>
          <w:spacing w:val="0"/>
          <w:w w:val="100"/>
          <w:position w:val="0"/>
          <w:sz w:val="32"/>
          <w:szCs w:val="32"/>
          <w:lang w:val="zh-CN" w:eastAsia="zh-CN" w:bidi="zh-CN"/>
        </w:rPr>
        <w:t>”名</w:t>
      </w:r>
      <w:r>
        <w:rPr>
          <w:rFonts w:hint="eastAsia" w:ascii="方正仿宋_GBK" w:hAnsi="方正仿宋_GBK" w:eastAsia="方正仿宋_GBK" w:cs="方正仿宋_GBK"/>
          <w:color w:val="auto"/>
          <w:spacing w:val="0"/>
          <w:w w:val="100"/>
          <w:position w:val="0"/>
          <w:sz w:val="32"/>
          <w:szCs w:val="32"/>
        </w:rPr>
        <w:t>单，向有关省（自治区、直辖市）印发督导评估认定意见。</w:t>
      </w:r>
      <w:bookmarkStart w:id="53" w:name="bookmark49"/>
      <w:bookmarkStart w:id="54" w:name="bookmark48"/>
      <w:bookmarkStart w:id="55" w:name="bookmark50"/>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黑体_GBK" w:hAnsi="方正黑体_GBK" w:eastAsia="方正黑体_GBK" w:cs="方正黑体_GBK"/>
          <w:color w:val="auto"/>
          <w:sz w:val="32"/>
          <w:szCs w:val="32"/>
        </w:rPr>
      </w:pPr>
    </w:p>
    <w:p>
      <w:pPr>
        <w:pStyle w:val="4"/>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黑体_GBK" w:hAnsi="方正黑体_GBK" w:eastAsia="方正黑体_GBK" w:cs="方正黑体_GBK"/>
          <w:color w:val="auto"/>
          <w:sz w:val="32"/>
          <w:szCs w:val="32"/>
        </w:rPr>
      </w:pPr>
      <w:r>
        <w:rPr>
          <w:rFonts w:hint="eastAsia" w:ascii="方正黑体_GBK" w:hAnsi="方正黑体_GBK" w:eastAsia="方正黑体_GBK" w:cs="方正黑体_GBK"/>
          <w:color w:val="auto"/>
          <w:sz w:val="32"/>
          <w:szCs w:val="32"/>
        </w:rPr>
        <w:t>第七章</w:t>
      </w:r>
      <w:r>
        <w:rPr>
          <w:rFonts w:hint="eastAsia" w:ascii="方正黑体_GBK" w:hAnsi="方正黑体_GBK" w:eastAsia="方正黑体_GBK" w:cs="方正黑体_GBK"/>
          <w:color w:val="auto"/>
          <w:sz w:val="32"/>
          <w:szCs w:val="32"/>
          <w:lang w:val="en-US" w:eastAsia="zh-CN"/>
        </w:rPr>
        <w:t xml:space="preserve">  </w:t>
      </w:r>
      <w:r>
        <w:rPr>
          <w:rFonts w:hint="eastAsia" w:ascii="方正黑体_GBK" w:hAnsi="方正黑体_GBK" w:eastAsia="方正黑体_GBK" w:cs="方正黑体_GBK"/>
          <w:color w:val="auto"/>
          <w:sz w:val="32"/>
          <w:szCs w:val="32"/>
        </w:rPr>
        <w:t>附</w:t>
      </w:r>
      <w:r>
        <w:rPr>
          <w:rFonts w:hint="eastAsia" w:ascii="方正黑体_GBK" w:hAnsi="方正黑体_GBK" w:eastAsia="方正黑体_GBK" w:cs="方正黑体_GBK"/>
          <w:color w:val="auto"/>
          <w:sz w:val="32"/>
          <w:szCs w:val="32"/>
          <w:lang w:val="en-US" w:eastAsia="zh-CN"/>
        </w:rPr>
        <w:t xml:space="preserve"> </w:t>
      </w:r>
      <w:r>
        <w:rPr>
          <w:rFonts w:hint="eastAsia" w:ascii="方正黑体_GBK" w:hAnsi="方正黑体_GBK" w:eastAsia="方正黑体_GBK" w:cs="方正黑体_GBK"/>
          <w:color w:val="auto"/>
          <w:sz w:val="32"/>
          <w:szCs w:val="32"/>
        </w:rPr>
        <w:t>则</w:t>
      </w:r>
      <w:bookmarkEnd w:id="53"/>
      <w:bookmarkEnd w:id="54"/>
      <w:bookmarkEnd w:id="55"/>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b/>
          <w:bCs/>
          <w:color w:val="auto"/>
          <w:spacing w:val="0"/>
          <w:w w:val="100"/>
          <w:position w:val="0"/>
          <w:sz w:val="32"/>
          <w:szCs w:val="32"/>
        </w:rPr>
        <w:t>第二十三条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本规程由国务院教育督导委员会办公室负责解释。</w:t>
      </w:r>
    </w:p>
    <w:p>
      <w:pPr>
        <w:pStyle w:val="10"/>
        <w:keepNext w:val="0"/>
        <w:keepLines w:val="0"/>
        <w:pageBreakBefore w:val="0"/>
        <w:widowControl w:val="0"/>
        <w:shd w:val="clear" w:color="auto" w:fill="auto"/>
        <w:kinsoku/>
        <w:wordWrap/>
        <w:overflowPunct/>
        <w:topLinePunct w:val="0"/>
        <w:autoSpaceDE/>
        <w:autoSpaceDN/>
        <w:bidi w:val="0"/>
        <w:adjustRightInd/>
        <w:snapToGrid/>
        <w:spacing w:line="560" w:lineRule="exact"/>
        <w:ind w:left="0" w:right="0" w:firstLine="643" w:firstLineChars="200"/>
        <w:jc w:val="both"/>
        <w:textAlignment w:val="auto"/>
        <w:rPr>
          <w:color w:val="auto"/>
        </w:rPr>
      </w:pPr>
      <w:r>
        <w:rPr>
          <w:rFonts w:hint="eastAsia" w:ascii="方正仿宋_GBK" w:hAnsi="方正仿宋_GBK" w:eastAsia="方正仿宋_GBK" w:cs="方正仿宋_GBK"/>
          <w:b/>
          <w:bCs/>
          <w:color w:val="auto"/>
          <w:spacing w:val="0"/>
          <w:w w:val="100"/>
          <w:position w:val="0"/>
          <w:sz w:val="32"/>
          <w:szCs w:val="32"/>
        </w:rPr>
        <w:t>第二十四条</w:t>
      </w:r>
      <w:r>
        <w:rPr>
          <w:rFonts w:hint="eastAsia" w:ascii="方正仿宋_GBK" w:hAnsi="方正仿宋_GBK" w:eastAsia="方正仿宋_GBK" w:cs="方正仿宋_GBK"/>
          <w:b/>
          <w:bCs/>
          <w:color w:val="auto"/>
          <w:spacing w:val="0"/>
          <w:w w:val="100"/>
          <w:position w:val="0"/>
          <w:sz w:val="32"/>
          <w:szCs w:val="32"/>
          <w:lang w:val="en-US" w:eastAsia="zh-CN"/>
        </w:rPr>
        <w:t xml:space="preserve"> </w:t>
      </w:r>
      <w:r>
        <w:rPr>
          <w:rFonts w:hint="eastAsia" w:ascii="方正仿宋_GBK" w:hAnsi="方正仿宋_GBK" w:eastAsia="方正仿宋_GBK" w:cs="方正仿宋_GBK"/>
          <w:color w:val="auto"/>
          <w:spacing w:val="0"/>
          <w:w w:val="100"/>
          <w:position w:val="0"/>
          <w:sz w:val="32"/>
          <w:szCs w:val="32"/>
        </w:rPr>
        <w:t>本规程自发布之日起施行。</w:t>
      </w:r>
    </w:p>
    <w:p>
      <w:pPr>
        <w:pageBreakBefore w:val="0"/>
        <w:widowControl w:val="0"/>
        <w:kinsoku/>
        <w:wordWrap/>
        <w:overflowPunct/>
        <w:topLinePunct w:val="0"/>
        <w:autoSpaceDE/>
        <w:autoSpaceDN/>
        <w:bidi w:val="0"/>
        <w:adjustRightInd/>
        <w:snapToGrid/>
        <w:spacing w:line="560" w:lineRule="exact"/>
        <w:textAlignment w:val="auto"/>
        <w:rPr>
          <w:color w:val="auto"/>
        </w:rPr>
      </w:pPr>
    </w:p>
    <w:sectPr>
      <w:headerReference r:id="rId3" w:type="default"/>
      <w:footerReference r:id="rId4" w:type="default"/>
      <w:pgSz w:w="11906" w:h="16838"/>
      <w:pgMar w:top="1814" w:right="1531" w:bottom="1814" w:left="1531"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汉仪中黑简">
    <w:altName w:val="黑体"/>
    <w:panose1 w:val="02010609000101010101"/>
    <w:charset w:val="86"/>
    <w:family w:val="auto"/>
    <w:pitch w:val="default"/>
    <w:sig w:usb0="00000000" w:usb1="00000000" w:usb2="00000002" w:usb3="00000000" w:csb0="00040000" w:csb1="00000000"/>
  </w:font>
  <w:font w:name="楷体_GB2312">
    <w:panose1 w:val="02010609030101010101"/>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sz w:val="32"/>
                              <w:szCs w:val="32"/>
                            </w:rPr>
                          </w:pPr>
                          <w:r>
                            <w:rPr>
                              <w:sz w:val="32"/>
                              <w:szCs w:val="32"/>
                            </w:rPr>
                            <w:fldChar w:fldCharType="begin"/>
                          </w:r>
                          <w:r>
                            <w:rPr>
                              <w:sz w:val="32"/>
                              <w:szCs w:val="32"/>
                            </w:rPr>
                            <w:instrText xml:space="preserve"> PAGE  \* MERGEFORMAT </w:instrText>
                          </w:r>
                          <w:r>
                            <w:rPr>
                              <w:sz w:val="32"/>
                              <w:szCs w:val="32"/>
                            </w:rPr>
                            <w:fldChar w:fldCharType="separate"/>
                          </w:r>
                          <w:r>
                            <w:rPr>
                              <w:sz w:val="32"/>
                              <w:szCs w:val="32"/>
                            </w:rPr>
                            <w:t>1</w:t>
                          </w:r>
                          <w:r>
                            <w:rPr>
                              <w:sz w:val="32"/>
                              <w:szCs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sz w:val="32"/>
                        <w:szCs w:val="32"/>
                      </w:rPr>
                    </w:pPr>
                    <w:r>
                      <w:rPr>
                        <w:sz w:val="32"/>
                        <w:szCs w:val="32"/>
                      </w:rPr>
                      <w:fldChar w:fldCharType="begin"/>
                    </w:r>
                    <w:r>
                      <w:rPr>
                        <w:sz w:val="32"/>
                        <w:szCs w:val="32"/>
                      </w:rPr>
                      <w:instrText xml:space="preserve"> PAGE  \* MERGEFORMAT </w:instrText>
                    </w:r>
                    <w:r>
                      <w:rPr>
                        <w:sz w:val="32"/>
                        <w:szCs w:val="32"/>
                      </w:rPr>
                      <w:fldChar w:fldCharType="separate"/>
                    </w:r>
                    <w:r>
                      <w:rPr>
                        <w:sz w:val="32"/>
                        <w:szCs w:val="32"/>
                      </w:rPr>
                      <w:t>1</w:t>
                    </w:r>
                    <w:r>
                      <w:rPr>
                        <w:sz w:val="32"/>
                        <w:szCs w:val="32"/>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5NGVhNTViM2YxZmE3N2U1MGM3M2U2YzcyOWUyNmQifQ=="/>
  </w:docVars>
  <w:rsids>
    <w:rsidRoot w:val="09E61C5C"/>
    <w:rsid w:val="09012917"/>
    <w:rsid w:val="09E61C5C"/>
    <w:rsid w:val="16730284"/>
    <w:rsid w:val="2186530F"/>
    <w:rsid w:val="25F52A64"/>
    <w:rsid w:val="295143AA"/>
    <w:rsid w:val="2A7E3970"/>
    <w:rsid w:val="2F6B1DCF"/>
    <w:rsid w:val="2FFF10AF"/>
    <w:rsid w:val="366D1A51"/>
    <w:rsid w:val="416C231C"/>
    <w:rsid w:val="48CA1FE3"/>
    <w:rsid w:val="4AD93E52"/>
    <w:rsid w:val="56B55774"/>
    <w:rsid w:val="5F28567D"/>
    <w:rsid w:val="60D96503"/>
    <w:rsid w:val="70721A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宋体" w:asciiTheme="minorHAnsi" w:hAnsiTheme="minorHAnsi" w:cstheme="minorBidi"/>
      <w:color w:val="000000" w:themeColor="text1"/>
      <w:kern w:val="2"/>
      <w:sz w:val="21"/>
      <w:lang w:val="en-US" w:eastAsia="zh-CN" w:bidi="ar-SA"/>
      <w14:textFill>
        <w14:solidFill>
          <w14:schemeClr w14:val="tx1"/>
        </w14:solidFill>
      </w14:textFill>
    </w:rPr>
  </w:style>
  <w:style w:type="paragraph" w:styleId="2">
    <w:name w:val="heading 1"/>
    <w:basedOn w:val="1"/>
    <w:next w:val="1"/>
    <w:qFormat/>
    <w:uiPriority w:val="0"/>
    <w:pPr>
      <w:spacing w:before="0" w:beforeAutospacing="0" w:after="0" w:afterAutospacing="0"/>
      <w:jc w:val="center"/>
      <w:outlineLvl w:val="0"/>
    </w:pPr>
    <w:rPr>
      <w:rFonts w:hint="eastAsia" w:ascii="宋体" w:hAnsi="宋体" w:eastAsia="方正小标宋_GBK" w:cs="宋体"/>
      <w:kern w:val="44"/>
      <w:sz w:val="36"/>
      <w:szCs w:val="48"/>
      <w:lang w:bidi="ar"/>
    </w:rPr>
  </w:style>
  <w:style w:type="paragraph" w:styleId="3">
    <w:name w:val="heading 2"/>
    <w:basedOn w:val="1"/>
    <w:next w:val="1"/>
    <w:unhideWhenUsed/>
    <w:qFormat/>
    <w:uiPriority w:val="0"/>
    <w:pPr>
      <w:spacing w:line="240" w:lineRule="auto"/>
      <w:jc w:val="center"/>
      <w:outlineLvl w:val="1"/>
    </w:pPr>
    <w:rPr>
      <w:rFonts w:hint="eastAsia" w:ascii="宋体" w:hAnsi="宋体" w:eastAsia="方正小标宋_GBK" w:cs="Times New Roman"/>
      <w:kern w:val="0"/>
      <w:sz w:val="32"/>
      <w:szCs w:val="36"/>
    </w:rPr>
  </w:style>
  <w:style w:type="paragraph" w:styleId="4">
    <w:name w:val="heading 3"/>
    <w:basedOn w:val="1"/>
    <w:next w:val="1"/>
    <w:unhideWhenUsed/>
    <w:qFormat/>
    <w:uiPriority w:val="0"/>
    <w:pPr>
      <w:keepNext/>
      <w:keepLines/>
      <w:spacing w:line="460" w:lineRule="exact"/>
      <w:ind w:firstLine="0" w:firstLineChars="0"/>
      <w:jc w:val="center"/>
      <w:outlineLvl w:val="2"/>
    </w:pPr>
    <w:rPr>
      <w:rFonts w:eastAsia="汉仪中黑简" w:asciiTheme="minorAscii" w:hAnsiTheme="minorAscii"/>
      <w:bCs/>
      <w:sz w:val="26"/>
      <w:szCs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5">
    <w:name w:val="footer"/>
    <w:basedOn w:val="1"/>
    <w:uiPriority w:val="0"/>
    <w:pPr>
      <w:tabs>
        <w:tab w:val="center" w:pos="4153"/>
        <w:tab w:val="right" w:pos="8306"/>
      </w:tabs>
      <w:snapToGrid w:val="0"/>
      <w:jc w:val="left"/>
    </w:pPr>
    <w:rPr>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9">
    <w:name w:val="副标题10"/>
    <w:basedOn w:val="1"/>
    <w:qFormat/>
    <w:uiPriority w:val="0"/>
    <w:pPr>
      <w:spacing w:line="360" w:lineRule="auto"/>
      <w:jc w:val="center"/>
    </w:pPr>
    <w:rPr>
      <w:rFonts w:eastAsia="楷体_GB2312" w:asciiTheme="minorAscii" w:hAnsiTheme="minorAscii"/>
      <w:sz w:val="24"/>
    </w:rPr>
  </w:style>
  <w:style w:type="paragraph" w:customStyle="1" w:styleId="10">
    <w:name w:val="Body text|1"/>
    <w:basedOn w:val="1"/>
    <w:qFormat/>
    <w:uiPriority w:val="0"/>
    <w:pPr>
      <w:widowControl w:val="0"/>
      <w:shd w:val="clear" w:color="auto" w:fill="auto"/>
      <w:spacing w:line="439" w:lineRule="auto"/>
      <w:ind w:firstLine="400"/>
    </w:pPr>
    <w:rPr>
      <w:rFonts w:ascii="宋体" w:hAnsi="宋体" w:eastAsia="宋体" w:cs="宋体"/>
      <w:sz w:val="28"/>
      <w:szCs w:val="28"/>
      <w:u w:val="none"/>
      <w:shd w:val="clear" w:color="auto" w:fill="auto"/>
      <w:lang w:val="zh-TW" w:eastAsia="zh-TW" w:bidi="zh-TW"/>
    </w:rPr>
  </w:style>
  <w:style w:type="paragraph" w:customStyle="1" w:styleId="11">
    <w:name w:val="Heading #2|1"/>
    <w:basedOn w:val="1"/>
    <w:qFormat/>
    <w:uiPriority w:val="0"/>
    <w:pPr>
      <w:widowControl w:val="0"/>
      <w:shd w:val="clear" w:color="auto" w:fill="auto"/>
      <w:spacing w:after="510" w:line="547" w:lineRule="exact"/>
      <w:jc w:val="center"/>
      <w:outlineLvl w:val="1"/>
    </w:pPr>
    <w:rPr>
      <w:rFonts w:ascii="宋体" w:hAnsi="宋体" w:eastAsia="宋体" w:cs="宋体"/>
      <w:sz w:val="34"/>
      <w:szCs w:val="34"/>
      <w:u w:val="none"/>
      <w:shd w:val="clear" w:color="auto" w:fill="auto"/>
      <w:lang w:val="zh-TW" w:eastAsia="zh-TW" w:bidi="zh-TW"/>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3566</Words>
  <Characters>3631</Characters>
  <Lines>0</Lines>
  <Paragraphs>0</Paragraphs>
  <TotalTime>14</TotalTime>
  <ScaleCrop>false</ScaleCrop>
  <LinksUpToDate>false</LinksUpToDate>
  <CharactersWithSpaces>3713</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2023-01-03T01:31:00Z</dcterms:created>
  <dc:creator>燕泉</dc:creator>
  <cp:lastModifiedBy>燕泉</cp:lastModifiedBy>
  <dcterms:modified xsi:type="dcterms:W3CDTF">2023-01-03T01:49:05Z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1BFC7F24142E44D29DE9ECDC9934D1E5</vt:lpwstr>
  </property>
</Properties>
</file>