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0891">
      <w:pPr>
        <w:spacing w:line="600" w:lineRule="exact"/>
        <w:rPr>
          <w:rFonts w:ascii="Times New Roman" w:hAnsi="Times New Roman" w:eastAsia="方正黑体_GBK" w:cs="Times New Roman"/>
          <w:sz w:val="32"/>
          <w:szCs w:val="32"/>
        </w:rPr>
      </w:pPr>
    </w:p>
    <w:p w14:paraId="6CC6C4AE">
      <w:pPr>
        <w:jc w:val="distribute"/>
        <w:rPr>
          <w:rFonts w:ascii="Times New Roman" w:hAnsi="Times New Roman" w:eastAsia="方正小标宋简体" w:cs="Times New Roman"/>
          <w:w w:val="80"/>
          <w:sz w:val="18"/>
          <w:szCs w:val="24"/>
        </w:rPr>
      </w:pPr>
      <w:r>
        <w:rPr>
          <w:rFonts w:ascii="Times New Roman" w:hAnsi="Times New Roman" w:eastAsia="方正小标宋简体" w:cs="Times New Roman"/>
          <w:color w:val="FF0000"/>
          <w:w w:val="80"/>
          <w:sz w:val="72"/>
          <w:szCs w:val="138"/>
        </w:rPr>
        <w:t>重庆市开州区</w:t>
      </w:r>
      <w:r>
        <w:rPr>
          <w:rFonts w:hint="eastAsia" w:ascii="Times New Roman" w:hAnsi="Times New Roman" w:eastAsia="方正小标宋简体" w:cs="Times New Roman"/>
          <w:color w:val="FF0000"/>
          <w:w w:val="80"/>
          <w:sz w:val="72"/>
          <w:szCs w:val="138"/>
        </w:rPr>
        <w:t>南雅镇中心幼儿园</w:t>
      </w:r>
    </w:p>
    <w:p w14:paraId="031563C8">
      <w:pPr>
        <w:spacing w:line="100" w:lineRule="exact"/>
        <w:jc w:val="center"/>
        <w:rPr>
          <w:rFonts w:ascii="Times New Roman" w:hAnsi="Times New Roman" w:eastAsia="黑体" w:cs="Times New Roman"/>
          <w:sz w:val="36"/>
          <w:szCs w:val="24"/>
        </w:rPr>
      </w:pPr>
    </w:p>
    <w:p w14:paraId="00A4D188">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24"/>
        </w:rPr>
        <w:t>开州</w:t>
      </w:r>
      <w:r>
        <w:rPr>
          <w:rFonts w:hint="eastAsia" w:ascii="Times New Roman" w:hAnsi="Times New Roman" w:eastAsia="方正仿宋_GBK" w:cs="Times New Roman"/>
          <w:sz w:val="32"/>
          <w:szCs w:val="24"/>
        </w:rPr>
        <w:t>南幼</w:t>
      </w:r>
      <w:r>
        <w:rPr>
          <w:rFonts w:ascii="Times New Roman" w:hAnsi="Times New Roman" w:eastAsia="方正仿宋_GBK" w:cs="Times New Roman"/>
          <w:color w:val="000000"/>
          <w:sz w:val="32"/>
          <w:szCs w:val="32"/>
        </w:rPr>
        <w:t>〔2026〕</w:t>
      </w:r>
      <w:r>
        <w:rPr>
          <w:rFonts w:ascii="Times New Roman" w:hAnsi="Times New Roman" w:eastAsia="方正仿宋_GBK" w:cs="Times New Roman"/>
          <w:sz w:val="32"/>
          <w:szCs w:val="32"/>
        </w:rPr>
        <w:t>1</w:t>
      </w:r>
      <w:r>
        <w:rPr>
          <w:rFonts w:ascii="Times New Roman" w:hAnsi="Times New Roman" w:eastAsia="方正仿宋_GBK" w:cs="Times New Roman"/>
          <w:sz w:val="32"/>
          <w:szCs w:val="24"/>
        </w:rPr>
        <w:t>号              签发人：</w:t>
      </w:r>
      <w:r>
        <w:rPr>
          <w:rFonts w:hint="eastAsia" w:ascii="Times New Roman" w:hAnsi="Times New Roman" w:eastAsia="方正楷体_GBK" w:cs="Times New Roman"/>
          <w:sz w:val="32"/>
          <w:szCs w:val="24"/>
        </w:rPr>
        <w:t>魏光平</w:t>
      </w:r>
    </w:p>
    <w:p w14:paraId="202346C6">
      <w:pPr>
        <w:spacing w:line="300" w:lineRule="exact"/>
        <w:rPr>
          <w:rFonts w:ascii="Times New Roman" w:hAnsi="Times New Roman" w:eastAsia="方正小标宋简体" w:cs="Times New Roman"/>
          <w:sz w:val="42"/>
          <w:szCs w:val="44"/>
          <w:u w:val="thick" w:color="FF0000"/>
        </w:rPr>
      </w:pPr>
      <w:r>
        <w:rPr>
          <w:rFonts w:ascii="Times New Roman" w:hAnsi="Times New Roman" w:eastAsia="方正小标宋简体" w:cs="Times New Roman"/>
          <w:sz w:val="42"/>
          <w:szCs w:val="44"/>
          <w:u w:val="thick" w:color="FF0000"/>
        </w:rPr>
        <w:t xml:space="preserve">                                             </w:t>
      </w:r>
    </w:p>
    <w:p w14:paraId="5BE8D344">
      <w:pPr>
        <w:spacing w:line="600" w:lineRule="exact"/>
        <w:jc w:val="center"/>
        <w:rPr>
          <w:rFonts w:ascii="Times New Roman" w:hAnsi="Times New Roman" w:eastAsia="方正小标宋简体" w:cs="Times New Roman"/>
          <w:sz w:val="44"/>
          <w:szCs w:val="44"/>
        </w:rPr>
      </w:pPr>
    </w:p>
    <w:p w14:paraId="3CFAB208">
      <w:pPr>
        <w:rPr>
          <w:rFonts w:ascii="Times New Roman" w:hAnsi="Times New Roman" w:eastAsia="宋体" w:cs="Times New Roman"/>
          <w:szCs w:val="24"/>
        </w:rPr>
      </w:pPr>
    </w:p>
    <w:p w14:paraId="11788BAF">
      <w:pPr>
        <w:spacing w:line="62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南雅镇中心幼儿园</w:t>
      </w:r>
    </w:p>
    <w:p w14:paraId="347ADA6A">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477ABF7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w:t>
      </w:r>
      <w:r>
        <w:rPr>
          <w:rFonts w:hint="eastAsia" w:ascii="Times New Roman" w:hAnsi="Times New Roman" w:eastAsia="方正仿宋_GBK" w:cs="Times New Roman"/>
          <w:sz w:val="32"/>
          <w:szCs w:val="32"/>
        </w:rPr>
        <w:t>区级</w:t>
      </w:r>
      <w:r>
        <w:rPr>
          <w:rFonts w:ascii="Times New Roman" w:hAnsi="Times New Roman" w:eastAsia="方正仿宋_GBK" w:cs="Times New Roman"/>
          <w:sz w:val="32"/>
          <w:szCs w:val="32"/>
        </w:rPr>
        <w:t>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〔2026〕6号）</w:t>
      </w:r>
      <w:r>
        <w:rPr>
          <w:rFonts w:hint="eastAsia" w:ascii="Times New Roman" w:hAnsi="Times New Roman" w:eastAsia="方正仿宋_GBK" w:cs="Times New Roman"/>
          <w:sz w:val="32"/>
          <w:szCs w:val="32"/>
        </w:rPr>
        <w:t>要求，</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2026年部门预算批复情况公开如下：</w:t>
      </w:r>
    </w:p>
    <w:p w14:paraId="514F1071">
      <w:pPr>
        <w:jc w:val="center"/>
        <w:rPr>
          <w:rFonts w:ascii="Times New Roman" w:hAnsi="Times New Roman" w:eastAsia="方正黑体_GBK" w:cs="Times New Roman"/>
          <w:sz w:val="32"/>
          <w:szCs w:val="32"/>
        </w:rPr>
      </w:pPr>
    </w:p>
    <w:p w14:paraId="2D2A31D6">
      <w:pPr>
        <w:jc w:val="center"/>
        <w:rPr>
          <w:rFonts w:ascii="Times New Roman" w:hAnsi="Times New Roman" w:eastAsia="方正黑体_GBK" w:cs="Times New Roman"/>
          <w:sz w:val="32"/>
          <w:szCs w:val="32"/>
        </w:rPr>
      </w:pPr>
    </w:p>
    <w:p w14:paraId="1664072E">
      <w:pPr>
        <w:jc w:val="center"/>
        <w:rPr>
          <w:rFonts w:ascii="Times New Roman" w:hAnsi="Times New Roman" w:eastAsia="方正黑体_GBK" w:cs="Times New Roman"/>
          <w:sz w:val="32"/>
          <w:szCs w:val="32"/>
        </w:rPr>
      </w:pPr>
    </w:p>
    <w:p w14:paraId="5385271B">
      <w:pPr>
        <w:jc w:val="center"/>
        <w:rPr>
          <w:rFonts w:ascii="Times New Roman" w:hAnsi="Times New Roman" w:eastAsia="方正小标宋_GBK" w:cs="Times New Roman"/>
          <w:sz w:val="44"/>
          <w:szCs w:val="44"/>
        </w:rPr>
      </w:pPr>
    </w:p>
    <w:p w14:paraId="778FA68D">
      <w:pPr>
        <w:jc w:val="center"/>
        <w:rPr>
          <w:rFonts w:ascii="Times New Roman" w:hAnsi="Times New Roman" w:eastAsia="方正小标宋_GBK" w:cs="Times New Roman"/>
          <w:sz w:val="44"/>
          <w:szCs w:val="44"/>
        </w:rPr>
        <w:sectPr>
          <w:footerReference r:id="rId3" w:type="default"/>
          <w:pgSz w:w="11906" w:h="16838"/>
          <w:pgMar w:top="1440" w:right="1800" w:bottom="1440" w:left="1800" w:header="851" w:footer="992" w:gutter="0"/>
          <w:pgNumType w:fmt="numberInDash"/>
          <w:cols w:space="425" w:num="1"/>
          <w:docGrid w:type="lines" w:linePitch="312" w:charSpace="0"/>
        </w:sectPr>
      </w:pPr>
    </w:p>
    <w:p w14:paraId="220D0D8C">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79966B7B">
      <w:pPr>
        <w:rPr>
          <w:rFonts w:ascii="Times New Roman" w:hAnsi="Times New Roman" w:eastAsia="宋体" w:cs="Times New Roman"/>
          <w:szCs w:val="24"/>
        </w:rPr>
      </w:pPr>
    </w:p>
    <w:p w14:paraId="105A282A">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0C198665">
      <w:pPr>
        <w:rPr>
          <w:rFonts w:ascii="Times New Roman" w:hAnsi="Times New Roman" w:eastAsia="宋体" w:cs="Times New Roman"/>
          <w:szCs w:val="24"/>
        </w:rPr>
      </w:pPr>
    </w:p>
    <w:p w14:paraId="46E942B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180E725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2DCD8C9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24C16DB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16B3D96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4F49396B">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2A980FF0">
      <w:pPr>
        <w:rPr>
          <w:rFonts w:ascii="Times New Roman" w:hAnsi="Times New Roman" w:eastAsia="方正仿宋_GBK" w:cs="Times New Roman"/>
          <w:sz w:val="32"/>
          <w:szCs w:val="32"/>
        </w:rPr>
      </w:pPr>
    </w:p>
    <w:p w14:paraId="11186295">
      <w:pPr>
        <w:jc w:val="center"/>
        <w:rPr>
          <w:rFonts w:ascii="Times New Roman" w:hAnsi="Times New Roman" w:eastAsia="宋体" w:cs="Times New Roman"/>
          <w:szCs w:val="24"/>
        </w:rPr>
      </w:pPr>
      <w:r>
        <w:rPr>
          <w:rFonts w:ascii="Times New Roman" w:hAnsi="Times New Roman" w:eastAsia="方正楷体_GBK" w:cs="Times New Roman"/>
          <w:sz w:val="32"/>
          <w:szCs w:val="32"/>
        </w:rPr>
        <w:t>第二部分：2026年部门预算公开报表</w:t>
      </w:r>
    </w:p>
    <w:p w14:paraId="1A572EAB">
      <w:pPr>
        <w:rPr>
          <w:rFonts w:ascii="Times New Roman" w:hAnsi="Times New Roman" w:eastAsia="宋体" w:cs="Times New Roman"/>
          <w:szCs w:val="24"/>
        </w:rPr>
      </w:pPr>
    </w:p>
    <w:p w14:paraId="7122A6A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收支预算总表</w:t>
      </w:r>
    </w:p>
    <w:p w14:paraId="4DCFC94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收入总表</w:t>
      </w:r>
    </w:p>
    <w:p w14:paraId="4E0FF9D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本年支出预算总表</w:t>
      </w:r>
    </w:p>
    <w:p w14:paraId="11AB12D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财政拨款收支预算总表</w:t>
      </w:r>
    </w:p>
    <w:p w14:paraId="4AD0AE9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本年一般公共预算支出预算表</w:t>
      </w:r>
    </w:p>
    <w:p w14:paraId="77B892B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一般公共预算基本支出预算表</w:t>
      </w:r>
    </w:p>
    <w:p w14:paraId="543A502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重庆市开州区南雅镇中心幼儿园一</w:t>
      </w:r>
      <w:r>
        <w:rPr>
          <w:rFonts w:ascii="Times New Roman" w:hAnsi="Times New Roman" w:eastAsia="方正仿宋_GBK" w:cs="Times New Roman"/>
          <w:sz w:val="32"/>
          <w:szCs w:val="32"/>
        </w:rPr>
        <w:t>般公共预算“三公”经费支出预算表</w:t>
      </w:r>
    </w:p>
    <w:p w14:paraId="2084C0A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政府性基金预算支出预算表</w:t>
      </w:r>
    </w:p>
    <w:p w14:paraId="358EE37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国有资本经营预算支出预算表</w:t>
      </w:r>
    </w:p>
    <w:p w14:paraId="34D56C0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项目支出表</w:t>
      </w:r>
    </w:p>
    <w:p w14:paraId="6E5FB718">
      <w:pPr>
        <w:rPr>
          <w:rFonts w:ascii="Times New Roman" w:hAnsi="Times New Roman" w:eastAsia="宋体" w:cs="Times New Roman"/>
          <w:szCs w:val="24"/>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2026年重庆市开州区南雅镇中心幼儿园</w:t>
      </w:r>
      <w:r>
        <w:rPr>
          <w:rFonts w:ascii="Times New Roman" w:hAnsi="Times New Roman" w:eastAsia="方正仿宋_GBK" w:cs="Times New Roman"/>
          <w:sz w:val="32"/>
          <w:szCs w:val="32"/>
        </w:rPr>
        <w:t>项目绩效目标表</w:t>
      </w:r>
    </w:p>
    <w:p w14:paraId="2A03F33D">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注：上述表格详见附表《</w:t>
      </w:r>
      <w:r>
        <w:rPr>
          <w:rFonts w:hint="eastAsia" w:ascii="Times New Roman" w:hAnsi="Times New Roman" w:eastAsia="方正仿宋_GBK" w:cs="Times New Roman"/>
          <w:b/>
          <w:bCs/>
          <w:sz w:val="32"/>
          <w:szCs w:val="32"/>
        </w:rPr>
        <w:t>重庆市开州区南雅镇中心幼儿园</w:t>
      </w:r>
      <w:r>
        <w:rPr>
          <w:rFonts w:ascii="Times New Roman" w:hAnsi="Times New Roman" w:eastAsia="方正仿宋_GBK" w:cs="Times New Roman"/>
          <w:b/>
          <w:bCs/>
          <w:sz w:val="32"/>
          <w:szCs w:val="32"/>
        </w:rPr>
        <w:t>2026年部门预算公开报表》。</w:t>
      </w:r>
    </w:p>
    <w:p w14:paraId="18291C14">
      <w:pPr>
        <w:rPr>
          <w:rFonts w:ascii="Times New Roman" w:hAnsi="Times New Roman" w:eastAsia="宋体" w:cs="Times New Roman"/>
          <w:szCs w:val="24"/>
        </w:rPr>
      </w:pPr>
    </w:p>
    <w:p w14:paraId="1E1D4C58">
      <w:pPr>
        <w:rPr>
          <w:rFonts w:ascii="Times New Roman" w:hAnsi="Times New Roman" w:eastAsia="宋体" w:cs="Times New Roman"/>
          <w:szCs w:val="24"/>
        </w:rPr>
      </w:pPr>
    </w:p>
    <w:p w14:paraId="282DFEB6">
      <w:pPr>
        <w:rPr>
          <w:rFonts w:ascii="Times New Roman" w:hAnsi="Times New Roman" w:eastAsia="宋体" w:cs="Times New Roman"/>
          <w:szCs w:val="24"/>
        </w:rPr>
      </w:pPr>
    </w:p>
    <w:p w14:paraId="7EAADD81">
      <w:pPr>
        <w:rPr>
          <w:rFonts w:ascii="Times New Roman" w:hAnsi="Times New Roman" w:eastAsia="宋体" w:cs="Times New Roman"/>
          <w:szCs w:val="24"/>
        </w:rPr>
      </w:pPr>
    </w:p>
    <w:p w14:paraId="3992F470">
      <w:pPr>
        <w:rPr>
          <w:rFonts w:ascii="Times New Roman" w:hAnsi="Times New Roman" w:eastAsia="宋体" w:cs="Times New Roman"/>
          <w:szCs w:val="24"/>
        </w:rPr>
      </w:pPr>
    </w:p>
    <w:p w14:paraId="47EEA55A">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282AC2ED">
      <w:pPr>
        <w:spacing w:line="600" w:lineRule="exact"/>
        <w:ind w:firstLine="880" w:firstLineChars="200"/>
        <w:jc w:val="center"/>
        <w:rPr>
          <w:rFonts w:ascii="Times New Roman" w:hAnsi="Times New Roman" w:eastAsia="华文中宋" w:cs="Times New Roman"/>
          <w:sz w:val="44"/>
          <w:szCs w:val="44"/>
        </w:rPr>
      </w:pPr>
    </w:p>
    <w:p w14:paraId="34CFC085">
      <w:pPr>
        <w:spacing w:line="600" w:lineRule="exact"/>
        <w:ind w:left="640"/>
        <w:rPr>
          <w:rFonts w:ascii="Times New Roman" w:hAnsi="Times New Roman" w:eastAsia="方正黑体_GBK" w:cs="Times New Roman"/>
          <w:sz w:val="32"/>
          <w:szCs w:val="24"/>
        </w:rPr>
      </w:pPr>
      <w:r>
        <w:rPr>
          <w:rFonts w:ascii="Times New Roman" w:hAnsi="Times New Roman" w:eastAsia="方正黑体_GBK" w:cs="Times New Roman"/>
          <w:sz w:val="32"/>
          <w:szCs w:val="24"/>
        </w:rPr>
        <w:t>一、单位基本情况</w:t>
      </w:r>
    </w:p>
    <w:p w14:paraId="272B6511">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22E1AFF0">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1.实行保育与教育相结合的原则，对幼儿实施体、智、德、美诸方面全面发展的教育，促进其身心和谐发展。</w:t>
      </w:r>
    </w:p>
    <w:p w14:paraId="68262F4A">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2.做好入园孩子在园期间的安全监管、生理和心理卫生保健工作。</w:t>
      </w:r>
    </w:p>
    <w:p w14:paraId="0AC1BEAE">
      <w:pPr>
        <w:tabs>
          <w:tab w:val="center" w:pos="4153"/>
          <w:tab w:val="left" w:pos="7275"/>
        </w:tabs>
        <w:spacing w:line="600" w:lineRule="exact"/>
        <w:ind w:left="64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6F427D9C">
      <w:pPr>
        <w:shd w:val="clear" w:color="auto" w:fill="FFFFFF"/>
        <w:snapToGrid w:val="0"/>
        <w:spacing w:line="640" w:lineRule="exact"/>
        <w:ind w:firstLine="640" w:firstLineChars="200"/>
        <w:rPr>
          <w:rFonts w:eastAsia="方正仿宋_GBK"/>
          <w:sz w:val="32"/>
          <w:szCs w:val="32"/>
          <w:shd w:val="clear" w:color="auto" w:fill="FFFFFF"/>
        </w:rPr>
      </w:pPr>
      <w:r>
        <w:rPr>
          <w:rFonts w:hint="eastAsia" w:ascii="Times New Roman" w:hAnsi="Times New Roman" w:eastAsia="方正仿宋_GBK" w:cs="Times New Roman"/>
          <w:sz w:val="32"/>
        </w:rPr>
        <w:t>重庆市开州区南雅镇中心幼儿园</w:t>
      </w:r>
      <w:r>
        <w:rPr>
          <w:rFonts w:ascii="Times New Roman" w:hAnsi="Times New Roman" w:eastAsia="方正仿宋_GBK" w:cs="Times New Roman"/>
          <w:sz w:val="32"/>
        </w:rPr>
        <w:t>单位内设3个机构处室，分别是</w:t>
      </w:r>
      <w:r>
        <w:rPr>
          <w:rFonts w:hint="eastAsia" w:ascii="方正仿宋_GBK" w:hAnsi="Times New Roman" w:eastAsia="方正仿宋_GBK"/>
          <w:sz w:val="32"/>
        </w:rPr>
        <w:t>保教处、安稳办、综合办</w:t>
      </w:r>
      <w:r>
        <w:rPr>
          <w:rFonts w:ascii="Times New Roman" w:hAnsi="Times New Roman" w:eastAsia="方正仿宋_GBK"/>
          <w:sz w:val="32"/>
        </w:rPr>
        <w:t>。</w:t>
      </w:r>
      <w:r>
        <w:rPr>
          <w:rFonts w:ascii="Times New Roman" w:hAnsi="Times New Roman" w:eastAsia="方正仿宋_GBK" w:cs="Times New Roman"/>
          <w:bCs/>
          <w:sz w:val="32"/>
          <w:szCs w:val="32"/>
          <w:shd w:val="clear" w:color="auto" w:fill="FFFFFF"/>
        </w:rPr>
        <w:t>本单位为二级预算单位，上级部门为重庆市开州区教育委员会，无下级预算单位。</w:t>
      </w:r>
    </w:p>
    <w:p w14:paraId="4E8B383B">
      <w:pPr>
        <w:spacing w:line="600" w:lineRule="exact"/>
        <w:ind w:left="640"/>
        <w:rPr>
          <w:rFonts w:ascii="Times New Roman" w:hAnsi="Times New Roman" w:eastAsia="方正仿宋_GBK" w:cs="Times New Roman"/>
          <w:sz w:val="32"/>
          <w:szCs w:val="24"/>
        </w:rPr>
      </w:pPr>
      <w:r>
        <w:rPr>
          <w:rFonts w:ascii="Times New Roman" w:hAnsi="Times New Roman" w:eastAsia="方正黑体_GBK" w:cs="Times New Roman"/>
          <w:sz w:val="32"/>
          <w:szCs w:val="24"/>
        </w:rPr>
        <w:t>二、部门收支总体情况</w:t>
      </w:r>
    </w:p>
    <w:p w14:paraId="558C6CC8">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szCs w:val="24"/>
        </w:rPr>
        <w:t>（一）收入预算：</w:t>
      </w:r>
      <w:r>
        <w:rPr>
          <w:rFonts w:ascii="Times New Roman" w:hAnsi="Times New Roman" w:eastAsia="方正仿宋_GBK" w:cs="Times New Roman"/>
          <w:sz w:val="32"/>
          <w:szCs w:val="24"/>
        </w:rPr>
        <w:t>2026年年初预算数237.73万元，上年结转6.24万元，其中：一般公共预算拨款收入237.73万元，上年结转6.24万元，政府性基金预算拨款收入0万元，上年结转0万元。收入较2025年增加72.5万元，主要是</w:t>
      </w:r>
      <w:r>
        <w:rPr>
          <w:rFonts w:hint="eastAsia" w:ascii="Times New Roman" w:hAnsi="Times New Roman" w:eastAsia="方正仿宋_GBK" w:cs="Times New Roman"/>
          <w:sz w:val="32"/>
          <w:szCs w:val="24"/>
        </w:rPr>
        <w:t>一般公共预算拨款增加6</w:t>
      </w:r>
      <w:r>
        <w:rPr>
          <w:rFonts w:ascii="Times New Roman" w:hAnsi="Times New Roman" w:eastAsia="方正仿宋_GBK" w:cs="Times New Roman"/>
          <w:sz w:val="32"/>
          <w:szCs w:val="24"/>
        </w:rPr>
        <w:t>6.26</w:t>
      </w:r>
      <w:r>
        <w:rPr>
          <w:rFonts w:hint="eastAsia" w:ascii="Times New Roman" w:hAnsi="Times New Roman" w:eastAsia="方正仿宋_GBK" w:cs="Times New Roman"/>
          <w:sz w:val="32"/>
          <w:szCs w:val="24"/>
        </w:rPr>
        <w:t>万元，上年结转结余一般公共预算资金6</w:t>
      </w:r>
      <w:r>
        <w:rPr>
          <w:rFonts w:ascii="Times New Roman" w:hAnsi="Times New Roman" w:eastAsia="方正仿宋_GBK" w:cs="Times New Roman"/>
          <w:sz w:val="32"/>
          <w:szCs w:val="24"/>
        </w:rPr>
        <w:t>.24</w:t>
      </w:r>
      <w:r>
        <w:rPr>
          <w:rFonts w:hint="eastAsia" w:ascii="Times New Roman" w:hAnsi="Times New Roman" w:eastAsia="方正仿宋_GBK" w:cs="Times New Roman"/>
          <w:sz w:val="32"/>
          <w:szCs w:val="24"/>
        </w:rPr>
        <w:t>万元。</w:t>
      </w:r>
    </w:p>
    <w:p w14:paraId="277C4F03">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szCs w:val="24"/>
        </w:rPr>
        <w:t>（二）支出预算：</w:t>
      </w:r>
      <w:r>
        <w:rPr>
          <w:rFonts w:ascii="Times New Roman" w:hAnsi="Times New Roman" w:eastAsia="方正仿宋_GBK" w:cs="Times New Roman"/>
          <w:sz w:val="32"/>
          <w:szCs w:val="24"/>
        </w:rPr>
        <w:t>2026年年初预算数237.73万元，其中：教育支出预算199.59万元，社会保障和就业支出预算</w:t>
      </w:r>
      <w:r>
        <w:rPr>
          <w:rFonts w:hint="eastAsia" w:ascii="Times New Roman" w:hAnsi="Times New Roman" w:eastAsia="方正仿宋_GBK" w:cs="Times New Roman"/>
          <w:sz w:val="32"/>
          <w:szCs w:val="24"/>
        </w:rPr>
        <w:t>2</w:t>
      </w:r>
      <w:r>
        <w:rPr>
          <w:rFonts w:ascii="Times New Roman" w:hAnsi="Times New Roman" w:eastAsia="方正仿宋_GBK" w:cs="Times New Roman"/>
          <w:sz w:val="32"/>
          <w:szCs w:val="24"/>
        </w:rPr>
        <w:t>2.41万元，卫生健康支出预算8.14万元，住房保障支出预算7.58万元。支出预算较2025年增加72.5万元，主要是基本支出预算增加35.12万元，项目支出预算增加37.38万元。</w:t>
      </w:r>
    </w:p>
    <w:p w14:paraId="18E288C1">
      <w:pPr>
        <w:spacing w:line="600" w:lineRule="exact"/>
        <w:ind w:left="640"/>
        <w:rPr>
          <w:rFonts w:ascii="Times New Roman" w:hAnsi="Times New Roman" w:eastAsia="方正黑体_GBK" w:cs="Times New Roman"/>
          <w:sz w:val="32"/>
          <w:szCs w:val="24"/>
        </w:rPr>
      </w:pPr>
      <w:r>
        <w:rPr>
          <w:rFonts w:ascii="Times New Roman" w:hAnsi="Times New Roman" w:eastAsia="方正黑体_GBK" w:cs="Times New Roman"/>
          <w:sz w:val="32"/>
          <w:szCs w:val="24"/>
        </w:rPr>
        <w:t>三、部门预算情况说明</w:t>
      </w:r>
    </w:p>
    <w:p w14:paraId="2209DF19">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2026年一般公共预算财政拨款收入</w:t>
      </w:r>
      <w:r>
        <w:rPr>
          <w:rFonts w:hint="eastAsia" w:ascii="Times New Roman" w:hAnsi="Times New Roman" w:eastAsia="方正仿宋_GBK" w:cs="Times New Roman"/>
          <w:sz w:val="32"/>
          <w:szCs w:val="24"/>
        </w:rPr>
        <w:t>2</w:t>
      </w:r>
      <w:r>
        <w:rPr>
          <w:rFonts w:ascii="Times New Roman" w:hAnsi="Times New Roman" w:eastAsia="方正仿宋_GBK" w:cs="Times New Roman"/>
          <w:sz w:val="32"/>
          <w:szCs w:val="24"/>
        </w:rPr>
        <w:t>37.73万元，一般公共预算财政拨款支出237.73万元，比2025年增加</w:t>
      </w:r>
      <w:r>
        <w:rPr>
          <w:rFonts w:hint="eastAsia" w:ascii="Times New Roman" w:hAnsi="Times New Roman" w:eastAsia="方正仿宋_GBK" w:cs="Times New Roman"/>
          <w:sz w:val="32"/>
          <w:szCs w:val="24"/>
        </w:rPr>
        <w:t>7</w:t>
      </w:r>
      <w:r>
        <w:rPr>
          <w:rFonts w:ascii="Times New Roman" w:hAnsi="Times New Roman" w:eastAsia="方正仿宋_GBK" w:cs="Times New Roman"/>
          <w:sz w:val="32"/>
          <w:szCs w:val="24"/>
        </w:rPr>
        <w:t>2.5万元。其中：基本支出162.92万元，比2025年增加35.12万元，主要原因是</w:t>
      </w:r>
      <w:r>
        <w:rPr>
          <w:rFonts w:hint="eastAsia" w:eastAsia="方正仿宋_GBK"/>
          <w:sz w:val="32"/>
        </w:rPr>
        <w:t>在职人员养老保险、职业年金缴费基数调标、工资调标等，</w:t>
      </w:r>
      <w:r>
        <w:rPr>
          <w:rFonts w:ascii="Times New Roman" w:hAnsi="Times New Roman" w:eastAsia="方正仿宋_GBK" w:cs="Times New Roman"/>
          <w:sz w:val="32"/>
          <w:szCs w:val="24"/>
        </w:rPr>
        <w:t>主要用于保障在职人员工资福利及社会保险缴费，离休人员离休费，退休人员补助等，保障部门正常运转的各项商品服务支出；项目支出74.81万元，比2025年增加</w:t>
      </w:r>
      <w:r>
        <w:rPr>
          <w:rFonts w:hint="eastAsia" w:ascii="Times New Roman" w:hAnsi="Times New Roman" w:eastAsia="方正仿宋_GBK" w:cs="Times New Roman"/>
          <w:sz w:val="32"/>
          <w:szCs w:val="24"/>
        </w:rPr>
        <w:t>3</w:t>
      </w:r>
      <w:r>
        <w:rPr>
          <w:rFonts w:ascii="Times New Roman" w:hAnsi="Times New Roman" w:eastAsia="方正仿宋_GBK" w:cs="Times New Roman"/>
          <w:sz w:val="32"/>
          <w:szCs w:val="24"/>
        </w:rPr>
        <w:t>7.38万元，主要原因是</w:t>
      </w:r>
      <w:r>
        <w:rPr>
          <w:rFonts w:hint="eastAsia" w:ascii="Times New Roman" w:hAnsi="Times New Roman" w:eastAsia="方正仿宋_GBK" w:cs="Times New Roman"/>
          <w:sz w:val="32"/>
          <w:szCs w:val="24"/>
        </w:rPr>
        <w:t>项目支出增加</w:t>
      </w:r>
      <w:r>
        <w:rPr>
          <w:rFonts w:ascii="Times New Roman" w:hAnsi="Times New Roman" w:eastAsia="方正仿宋_GBK" w:cs="Times New Roman"/>
          <w:sz w:val="32"/>
          <w:szCs w:val="24"/>
        </w:rPr>
        <w:t>，主要用于2026</w:t>
      </w:r>
      <w:r>
        <w:rPr>
          <w:rFonts w:hint="eastAsia" w:ascii="Times New Roman" w:hAnsi="Times New Roman" w:eastAsia="方正仿宋_GBK" w:cs="Times New Roman"/>
          <w:sz w:val="32"/>
          <w:szCs w:val="24"/>
        </w:rPr>
        <w:t>年学前一年免保教费补助、学前经济困难幼儿资助-免保教费补助、学期膳食补助、幼儿活动设施设备整治维修</w:t>
      </w:r>
      <w:r>
        <w:rPr>
          <w:rFonts w:ascii="Times New Roman" w:hAnsi="Times New Roman" w:eastAsia="方正仿宋_GBK" w:cs="Times New Roman"/>
          <w:sz w:val="32"/>
          <w:szCs w:val="24"/>
        </w:rPr>
        <w:t>等重点工作。</w:t>
      </w:r>
    </w:p>
    <w:p w14:paraId="6A359D7F">
      <w:pPr>
        <w:spacing w:line="600" w:lineRule="exact"/>
        <w:ind w:firstLine="640" w:firstLineChars="200"/>
        <w:rPr>
          <w:rFonts w:ascii="方正仿宋_GBK" w:hAnsi="仿宋_GB2312" w:eastAsia="方正仿宋_GBK" w:cs="仿宋_GB2312"/>
          <w:sz w:val="32"/>
        </w:rPr>
      </w:pPr>
      <w:r>
        <w:rPr>
          <w:rFonts w:hint="eastAsia" w:ascii="Times New Roman" w:hAnsi="Times New Roman" w:eastAsia="方正仿宋_GBK" w:cs="Times New Roman"/>
          <w:sz w:val="32"/>
        </w:rPr>
        <w:t>重庆市开州区南雅镇中心幼儿园</w:t>
      </w:r>
      <w:r>
        <w:rPr>
          <w:rFonts w:ascii="Times New Roman" w:hAnsi="Times New Roman" w:eastAsia="方正仿宋_GBK" w:cs="Times New Roman"/>
          <w:sz w:val="32"/>
        </w:rPr>
        <w:t>202</w:t>
      </w:r>
      <w:r>
        <w:rPr>
          <w:rFonts w:hint="eastAsia" w:ascii="Times New Roman" w:hAnsi="Times New Roman" w:eastAsia="方正仿宋_GBK" w:cs="Times New Roman"/>
          <w:sz w:val="32"/>
        </w:rPr>
        <w:t>6</w:t>
      </w:r>
      <w:r>
        <w:rPr>
          <w:rFonts w:ascii="Times New Roman" w:hAnsi="Times New Roman" w:eastAsia="方正仿宋_GBK" w:cs="Times New Roman"/>
          <w:sz w:val="32"/>
        </w:rPr>
        <w:t>年无使用政府性基金预算拨款安排的支出</w:t>
      </w:r>
      <w:r>
        <w:rPr>
          <w:rFonts w:hint="eastAsia" w:ascii="Times New Roman" w:hAnsi="Times New Roman" w:eastAsia="方正仿宋_GBK" w:cs="Times New Roman"/>
          <w:sz w:val="32"/>
        </w:rPr>
        <w:t>。</w:t>
      </w:r>
    </w:p>
    <w:p w14:paraId="53A68AE1">
      <w:pPr>
        <w:spacing w:line="600" w:lineRule="exact"/>
        <w:ind w:left="640"/>
        <w:rPr>
          <w:rFonts w:ascii="Times New Roman" w:hAnsi="Times New Roman" w:eastAsia="方正黑体_GBK" w:cs="Times New Roman"/>
          <w:sz w:val="32"/>
          <w:szCs w:val="24"/>
        </w:rPr>
      </w:pPr>
      <w:r>
        <w:rPr>
          <w:rFonts w:ascii="Times New Roman" w:hAnsi="Times New Roman" w:eastAsia="方正黑体_GBK" w:cs="Times New Roman"/>
          <w:sz w:val="32"/>
          <w:szCs w:val="24"/>
        </w:rPr>
        <w:t>四、“三公”经费情况说明</w:t>
      </w:r>
    </w:p>
    <w:p w14:paraId="6CE632AF">
      <w:pPr>
        <w:overflowPunct w:val="0"/>
        <w:spacing w:line="600" w:lineRule="exact"/>
        <w:ind w:firstLine="640" w:firstLineChars="200"/>
        <w:rPr>
          <w:rFonts w:eastAsia="方正仿宋_GBK"/>
          <w:sz w:val="32"/>
        </w:rPr>
      </w:pPr>
      <w:r>
        <w:rPr>
          <w:rFonts w:hint="eastAsia" w:ascii="Times New Roman" w:hAnsi="Times New Roman" w:eastAsia="方正仿宋_GBK" w:cs="Times New Roman"/>
          <w:sz w:val="32"/>
        </w:rPr>
        <w:t>本单位2026年度无“三公”经费支出。</w:t>
      </w:r>
    </w:p>
    <w:p w14:paraId="2EBC31DD">
      <w:pPr>
        <w:spacing w:line="600" w:lineRule="exact"/>
        <w:ind w:left="640"/>
        <w:rPr>
          <w:rFonts w:ascii="Times New Roman" w:hAnsi="Times New Roman" w:eastAsia="方正黑体_GBK" w:cs="Times New Roman"/>
          <w:sz w:val="32"/>
          <w:szCs w:val="24"/>
        </w:rPr>
      </w:pPr>
      <w:r>
        <w:rPr>
          <w:rFonts w:ascii="Times New Roman" w:hAnsi="Times New Roman" w:eastAsia="方正黑体_GBK" w:cs="Times New Roman"/>
          <w:sz w:val="32"/>
          <w:szCs w:val="24"/>
        </w:rPr>
        <w:t>五、其他重要事项的情况说明</w:t>
      </w:r>
    </w:p>
    <w:p w14:paraId="5ABE5666">
      <w:pPr>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szCs w:val="32"/>
        </w:rPr>
        <w:t>（一）</w:t>
      </w:r>
      <w:r>
        <w:rPr>
          <w:rFonts w:ascii="Times New Roman" w:hAnsi="Times New Roman" w:eastAsia="方正仿宋_GBK" w:cs="Times New Roman"/>
          <w:sz w:val="32"/>
          <w:szCs w:val="24"/>
        </w:rPr>
        <w:t>我单位不在机关运行经费统计范围之内。</w:t>
      </w:r>
    </w:p>
    <w:p w14:paraId="1A3DA2F1">
      <w:pPr>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szCs w:val="32"/>
        </w:rPr>
        <w:t>（二）</w:t>
      </w:r>
      <w:r>
        <w:rPr>
          <w:rFonts w:ascii="Times New Roman" w:hAnsi="Times New Roman" w:eastAsia="方正仿宋_GBK" w:cs="Times New Roman"/>
          <w:b/>
          <w:sz w:val="32"/>
          <w:szCs w:val="24"/>
        </w:rPr>
        <w:t>政府采购情况。</w:t>
      </w:r>
      <w:r>
        <w:rPr>
          <w:rFonts w:hint="eastAsia" w:ascii="Times New Roman" w:hAnsi="Times New Roman" w:eastAsia="方正仿宋_GBK" w:cs="Times New Roman"/>
          <w:sz w:val="32"/>
          <w:szCs w:val="24"/>
        </w:rPr>
        <w:t>本</w:t>
      </w:r>
      <w:r>
        <w:rPr>
          <w:rFonts w:ascii="Times New Roman" w:hAnsi="Times New Roman" w:eastAsia="方正仿宋_GBK" w:cs="Times New Roman"/>
          <w:sz w:val="32"/>
          <w:szCs w:val="24"/>
        </w:rPr>
        <w:t>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76905268">
      <w:pPr>
        <w:ind w:firstLine="640" w:firstLineChars="200"/>
        <w:rPr>
          <w:rFonts w:ascii="Times New Roman" w:hAnsi="Times New Roman" w:eastAsia="方正仿宋_GBK" w:cs="Times New Roman"/>
          <w:color w:val="000000"/>
          <w:sz w:val="32"/>
          <w:szCs w:val="24"/>
        </w:rPr>
      </w:pPr>
      <w:r>
        <w:rPr>
          <w:rFonts w:ascii="Times New Roman" w:hAnsi="Times New Roman" w:eastAsia="方正楷体_GBK" w:cs="Times New Roman"/>
          <w:sz w:val="32"/>
          <w:szCs w:val="32"/>
        </w:rPr>
        <w:t>（三）</w:t>
      </w:r>
      <w:r>
        <w:rPr>
          <w:rFonts w:ascii="Times New Roman" w:hAnsi="Times New Roman" w:eastAsia="方正仿宋_GBK" w:cs="Times New Roman"/>
          <w:b/>
          <w:sz w:val="32"/>
          <w:szCs w:val="24"/>
        </w:rPr>
        <w:t>绩效目标设置情况。</w:t>
      </w:r>
      <w:r>
        <w:rPr>
          <w:rFonts w:ascii="Times New Roman" w:hAnsi="Times New Roman" w:eastAsia="方正仿宋_GBK" w:cs="Times New Roman"/>
          <w:color w:val="000000"/>
          <w:sz w:val="32"/>
          <w:szCs w:val="24"/>
        </w:rPr>
        <w:t>2026年项目支出均实行了绩效目标管理，涉及一般公共预算当年财政拨款68.57万元。</w:t>
      </w:r>
    </w:p>
    <w:p w14:paraId="518B0B6A">
      <w:pPr>
        <w:ind w:firstLine="640" w:firstLineChars="200"/>
        <w:rPr>
          <w:rFonts w:ascii="Times New Roman" w:hAnsi="Times New Roman" w:eastAsia="方正仿宋_GBK" w:cs="Times New Roman"/>
          <w:color w:val="000000"/>
          <w:sz w:val="32"/>
          <w:szCs w:val="24"/>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szCs w:val="24"/>
        </w:rPr>
        <w:t>国有资产占有使用情况。</w:t>
      </w:r>
      <w:r>
        <w:rPr>
          <w:rFonts w:ascii="Times New Roman" w:hAnsi="Times New Roman" w:eastAsia="方正仿宋_GBK" w:cs="Times New Roman"/>
          <w:color w:val="000000"/>
          <w:sz w:val="32"/>
          <w:szCs w:val="24"/>
        </w:rPr>
        <w:t>截至2025年12月，</w:t>
      </w:r>
      <w:r>
        <w:rPr>
          <w:rFonts w:hint="eastAsia" w:ascii="Times New Roman" w:hAnsi="Times New Roman" w:eastAsia="方正仿宋_GBK" w:cs="Times New Roman"/>
          <w:color w:val="000000"/>
          <w:sz w:val="32"/>
          <w:szCs w:val="24"/>
        </w:rPr>
        <w:t>本</w:t>
      </w:r>
      <w:r>
        <w:rPr>
          <w:rFonts w:ascii="Times New Roman" w:hAnsi="Times New Roman" w:eastAsia="方正仿宋_GBK" w:cs="Times New Roman"/>
          <w:color w:val="000000"/>
          <w:sz w:val="32"/>
          <w:szCs w:val="24"/>
        </w:rPr>
        <w:t>单位共有车辆0辆。2026年一般公共预算安排购置车辆0辆。</w:t>
      </w:r>
    </w:p>
    <w:p w14:paraId="5E49B9F5">
      <w:pPr>
        <w:ind w:firstLine="640" w:firstLineChars="200"/>
        <w:rPr>
          <w:rFonts w:ascii="Times New Roman" w:hAnsi="Times New Roman" w:eastAsia="方正黑体_GBK" w:cs="Times New Roman"/>
          <w:sz w:val="32"/>
          <w:szCs w:val="24"/>
        </w:rPr>
      </w:pPr>
      <w:r>
        <w:rPr>
          <w:rFonts w:ascii="Times New Roman" w:hAnsi="Times New Roman" w:eastAsia="方正黑体_GBK" w:cs="Times New Roman"/>
          <w:sz w:val="32"/>
          <w:szCs w:val="24"/>
        </w:rPr>
        <w:t>六、专业性名词解释</w:t>
      </w:r>
    </w:p>
    <w:p w14:paraId="5C07AB25">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534D6C39">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561CF58">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3C75E0B7">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22373F78">
      <w:pPr>
        <w:ind w:firstLine="640" w:firstLineChars="200"/>
        <w:rPr>
          <w:rFonts w:ascii="Times New Roman" w:hAnsi="Times New Roman" w:eastAsia="方正小标宋_GBK" w:cs="Times New Roman"/>
          <w:sz w:val="44"/>
          <w:szCs w:val="44"/>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2CAF95">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第二部分：2026年部门预算公开报表</w:t>
      </w:r>
    </w:p>
    <w:p w14:paraId="119CC52D">
      <w:pPr>
        <w:ind w:firstLine="640" w:firstLineChars="200"/>
        <w:rPr>
          <w:rFonts w:ascii="Times New Roman" w:hAnsi="Times New Roman" w:eastAsia="方正黑体_GBK" w:cs="Times New Roman"/>
          <w:sz w:val="32"/>
          <w:szCs w:val="24"/>
        </w:rPr>
      </w:pPr>
    </w:p>
    <w:p w14:paraId="6B10FD9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重庆市开州区南雅镇中心幼儿园</w:t>
      </w:r>
      <w:r>
        <w:rPr>
          <w:rFonts w:ascii="Times New Roman" w:hAnsi="Times New Roman" w:eastAsia="方正仿宋_GBK" w:cs="Times New Roman"/>
          <w:sz w:val="32"/>
          <w:szCs w:val="32"/>
        </w:rPr>
        <w:t>2026年部门预算公开报表）</w:t>
      </w:r>
    </w:p>
    <w:p w14:paraId="4737A8E3">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李丹</w:t>
      </w:r>
      <w:r>
        <w:rPr>
          <w:rFonts w:ascii="Times New Roman" w:hAnsi="Times New Roman" w:eastAsia="方正仿宋_GBK" w:cs="Times New Roman"/>
          <w:sz w:val="32"/>
          <w:szCs w:val="32"/>
        </w:rPr>
        <w:t xml:space="preserve">  联系方式：023-52701113</w:t>
      </w:r>
    </w:p>
    <w:p w14:paraId="24DAF8ED">
      <w:pPr>
        <w:spacing w:line="594" w:lineRule="exact"/>
        <w:ind w:firstLine="640" w:firstLineChars="200"/>
        <w:rPr>
          <w:rFonts w:ascii="Times New Roman" w:hAnsi="Times New Roman" w:eastAsia="方正仿宋_GBK" w:cs="Times New Roman"/>
          <w:sz w:val="32"/>
          <w:szCs w:val="32"/>
        </w:rPr>
      </w:pPr>
    </w:p>
    <w:p w14:paraId="320315C7">
      <w:pPr>
        <w:spacing w:line="594" w:lineRule="exact"/>
        <w:ind w:firstLine="640" w:firstLineChars="200"/>
        <w:rPr>
          <w:rFonts w:ascii="Times New Roman" w:hAnsi="Times New Roman" w:eastAsia="方正仿宋_GBK" w:cs="Times New Roman"/>
          <w:sz w:val="32"/>
          <w:szCs w:val="32"/>
        </w:rPr>
      </w:pPr>
    </w:p>
    <w:p w14:paraId="79BBDE68">
      <w:pPr>
        <w:spacing w:line="594" w:lineRule="exact"/>
        <w:ind w:firstLine="640" w:firstLineChars="200"/>
        <w:rPr>
          <w:rFonts w:ascii="Times New Roman" w:hAnsi="Times New Roman" w:eastAsia="方正仿宋_GBK" w:cs="Times New Roman"/>
          <w:sz w:val="32"/>
          <w:szCs w:val="32"/>
        </w:rPr>
      </w:pPr>
    </w:p>
    <w:p w14:paraId="54D4355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重庆市开州区南雅镇中心幼儿园</w:t>
      </w:r>
    </w:p>
    <w:p w14:paraId="07157E0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0797C1A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26428FD7">
      <w:pPr>
        <w:spacing w:line="640" w:lineRule="exact"/>
        <w:jc w:val="center"/>
        <w:rPr>
          <w:rFonts w:ascii="Times New Roman" w:hAnsi="Times New Roman" w:eastAsia="方正仿宋_GBK" w:cs="Times New Roman"/>
          <w:sz w:val="32"/>
          <w:szCs w:val="32"/>
        </w:rPr>
      </w:pPr>
    </w:p>
    <w:p w14:paraId="61776C2D">
      <w:pPr>
        <w:spacing w:line="640" w:lineRule="exact"/>
        <w:jc w:val="center"/>
        <w:rPr>
          <w:rFonts w:ascii="Times New Roman" w:hAnsi="Times New Roman" w:eastAsia="方正仿宋_GBK" w:cs="Times New Roman"/>
          <w:sz w:val="32"/>
          <w:szCs w:val="32"/>
        </w:rPr>
      </w:pPr>
    </w:p>
    <w:p w14:paraId="254EDE14">
      <w:pPr>
        <w:spacing w:line="560" w:lineRule="exact"/>
        <w:jc w:val="center"/>
        <w:rPr>
          <w:rFonts w:ascii="Times New Roman" w:hAnsi="Times New Roman" w:eastAsia="方正仿宋_GBK" w:cs="Times New Roman"/>
          <w:sz w:val="32"/>
          <w:szCs w:val="32"/>
        </w:rPr>
      </w:pPr>
    </w:p>
    <w:p w14:paraId="600239C8">
      <w:pPr>
        <w:spacing w:line="640" w:lineRule="exact"/>
        <w:jc w:val="center"/>
        <w:rPr>
          <w:rFonts w:ascii="Times New Roman" w:hAnsi="Times New Roman" w:eastAsia="方正仿宋_GBK" w:cs="Times New Roman"/>
          <w:sz w:val="32"/>
          <w:szCs w:val="32"/>
        </w:rPr>
      </w:pPr>
    </w:p>
    <w:p w14:paraId="30F5CB0A">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0A95EEC2">
      <w:pPr>
        <w:tabs>
          <w:tab w:val="left" w:pos="1440"/>
        </w:tabs>
        <w:spacing w:line="640" w:lineRule="exact"/>
        <w:rPr>
          <w:rFonts w:ascii="Times New Roman" w:hAnsi="Times New Roman" w:eastAsia="方正仿宋_GBK" w:cs="Times New Roman"/>
          <w:sz w:val="32"/>
          <w:szCs w:val="32"/>
        </w:rPr>
      </w:pPr>
    </w:p>
    <w:p w14:paraId="67251A93">
      <w:pPr>
        <w:tabs>
          <w:tab w:val="left" w:pos="1440"/>
        </w:tabs>
        <w:spacing w:line="640" w:lineRule="exact"/>
        <w:rPr>
          <w:rFonts w:ascii="Times New Roman" w:hAnsi="Times New Roman" w:eastAsia="方正仿宋_GBK" w:cs="Times New Roman"/>
          <w:sz w:val="32"/>
          <w:szCs w:val="32"/>
        </w:rPr>
      </w:pPr>
    </w:p>
    <w:p w14:paraId="0BDDEA0B">
      <w:pPr>
        <w:tabs>
          <w:tab w:val="left" w:pos="1440"/>
        </w:tabs>
        <w:spacing w:line="640" w:lineRule="exact"/>
        <w:rPr>
          <w:rFonts w:ascii="Times New Roman" w:hAnsi="Times New Roman" w:eastAsia="方正仿宋_GBK" w:cs="Times New Roman"/>
          <w:sz w:val="32"/>
          <w:szCs w:val="32"/>
        </w:rPr>
      </w:pPr>
    </w:p>
    <w:p w14:paraId="084393E2">
      <w:pPr>
        <w:tabs>
          <w:tab w:val="left" w:pos="1440"/>
        </w:tabs>
        <w:spacing w:line="640" w:lineRule="exact"/>
        <w:rPr>
          <w:rFonts w:ascii="Times New Roman" w:hAnsi="Times New Roman" w:eastAsia="方正仿宋_GBK" w:cs="Times New Roman"/>
          <w:sz w:val="32"/>
          <w:szCs w:val="32"/>
        </w:rPr>
      </w:pPr>
    </w:p>
    <w:p w14:paraId="260AF0D7">
      <w:pPr>
        <w:overflowPunct w:val="0"/>
        <w:spacing w:line="480" w:lineRule="exact"/>
        <w:jc w:val="left"/>
        <w:rPr>
          <w:rFonts w:ascii="Times New Roman" w:hAnsi="Times New Roman" w:eastAsia="方正仿宋_GBK" w:cs="Times New Roman"/>
          <w:sz w:val="32"/>
          <w:szCs w:val="32"/>
        </w:rPr>
      </w:pPr>
    </w:p>
    <w:p w14:paraId="10308883">
      <w:pPr>
        <w:overflowPunct w:val="0"/>
        <w:spacing w:line="480" w:lineRule="exact"/>
        <w:jc w:val="left"/>
        <w:rPr>
          <w:rFonts w:ascii="Times New Roman" w:hAnsi="Times New Roman" w:eastAsia="方正仿宋_GBK" w:cs="Times New Roman"/>
          <w:sz w:val="32"/>
          <w:szCs w:val="32"/>
        </w:rPr>
      </w:pP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-171450</wp:posOffset>
                </wp:positionH>
                <wp:positionV relativeFrom="paragraph">
                  <wp:posOffset>345440</wp:posOffset>
                </wp:positionV>
                <wp:extent cx="5629275" cy="9525"/>
                <wp:effectExtent l="0" t="0" r="28575" b="2857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29275" cy="95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5pt;margin-top:27.2pt;height:0.75pt;width:443.25pt;mso-position-horizontal-relative:margin;z-index:251659264;mso-width-relative:page;mso-height-relative:page;" filled="f" stroked="t" coordsize="21600,21600" o:gfxdata="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u&#10;RlXZAAAACQEAAA8AAAAAAAAAAQAgAAAAIgAAAGRycy9kb3ducmV2LnhtbFBLAQIUABQAAAAIAIdO&#10;4kBKKiKf6QEAAL0DAAAOAAAAAAAAAAEAIAAAACgBAABkcnMvZTJvRG9jLnhtbFBLBQYAAAAABgAG&#10;AFkBAACDBQAAAAA=&#10;">
                <v:fill on="f" focussize="0,0"/>
                <v:stroke color="#000000" joinstyle="round"/>
                <v:imagedata o:title=""/>
                <o:lock v:ext="edit" aspectratio="f"/>
              </v:line>
            </w:pict>
          </mc:Fallback>
        </mc:AlternateContent>
      </w:r>
      <w:r>
        <w:rPr>
          <w:rFonts w:hint="eastAsia" w:eastAsia="方正仿宋_GBK"/>
          <w:kern w:val="0"/>
          <w:sz w:val="28"/>
          <w:szCs w:val="28"/>
        </w:rPr>
        <w:t>重庆市开州区南雅镇中心幼儿园</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5615940" cy="0"/>
                <wp:effectExtent l="0" t="0" r="2286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pt;height:0pt;width:442.2pt;mso-position-horizontal:center;mso-position-horizontal-relative:margin;z-index:251660288;mso-width-relative:page;mso-height-relative:page;" filled="f" stroked="t" coordsize="21600,21600" o:gfxdata="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qECWdOWJr4/afv&#10;Pz9++fXjM533374y8pBMnceS0Eu3DqlR2btbfwPyAzIHy1a4rcrl3h08UeSI4kFIeqCnZJvuDdSE&#10;EbsIWbO+CTZRkhqsz6M5nEej+sgkGWcXk9nlS5qaPPkKUZ4CfcD4WoFl6VJxo11STZRif4ORSifo&#10;CZLMDq61MXnyxrGu4pez6SwHIBhdJ2eCYdhuliawvUi7k7+kA5E9gAXYuXqwG5fiVF67Y+ZT14N+&#10;G6gP65DAyU4jzXTH9Us78/c7o/78c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8moGNIAAAAE&#10;AQAADwAAAAAAAAABACAAAAAiAAAAZHJzL2Rvd25yZXYueG1sUEsBAhQAFAAAAAgAh07iQEhycVTp&#10;AQAAugMAAA4AAAAAAAAAAQAgAAAAIQEAAGRycy9lMm9Eb2MueG1sUEsFBgAAAAAGAAYAWQEAAHwF&#10;AAAAAA==&#10;">
                <v:fill on="f" focussize="0,0"/>
                <v:stroke color="#000000" joinstyle="round"/>
                <v:imagedata o:title=""/>
                <o:lock v:ext="edit" aspectratio="f"/>
              </v:line>
            </w:pict>
          </mc:Fallback>
        </mc:AlternateContent>
      </w:r>
      <w:r>
        <w:rPr>
          <w:rFonts w:eastAsia="方正仿宋_GBK"/>
          <w:kern w:val="0"/>
          <w:sz w:val="28"/>
          <w:szCs w:val="28"/>
        </w:rPr>
        <w:t>办公室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561065"/>
    </w:sdtPr>
    <w:sdtContent>
      <w:p w14:paraId="4931E0AC">
        <w:pPr>
          <w:pStyle w:val="2"/>
        </w:pPr>
        <w:r>
          <w:fldChar w:fldCharType="begin"/>
        </w:r>
        <w:r>
          <w:instrText xml:space="preserve">PAGE   \* MERGEFORMAT</w:instrText>
        </w:r>
        <w:r>
          <w:fldChar w:fldCharType="separate"/>
        </w:r>
        <w:r>
          <w:rPr>
            <w:lang w:val="zh-CN"/>
          </w:rPr>
          <w:t>-</w:t>
        </w:r>
        <w:r>
          <w:t xml:space="preserve"> 2 -</w:t>
        </w:r>
        <w:r>
          <w:fldChar w:fldCharType="end"/>
        </w:r>
      </w:p>
    </w:sdtContent>
  </w:sdt>
  <w:p w14:paraId="355E240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91"/>
    <w:rsid w:val="00017BFD"/>
    <w:rsid w:val="000908B1"/>
    <w:rsid w:val="00140E9A"/>
    <w:rsid w:val="001E39E5"/>
    <w:rsid w:val="002453FE"/>
    <w:rsid w:val="0027464F"/>
    <w:rsid w:val="002F6329"/>
    <w:rsid w:val="00316605"/>
    <w:rsid w:val="00340A0D"/>
    <w:rsid w:val="00360C75"/>
    <w:rsid w:val="00396378"/>
    <w:rsid w:val="003B3AAB"/>
    <w:rsid w:val="00404F02"/>
    <w:rsid w:val="00407A83"/>
    <w:rsid w:val="00461287"/>
    <w:rsid w:val="00472CC8"/>
    <w:rsid w:val="004E4887"/>
    <w:rsid w:val="005C72C2"/>
    <w:rsid w:val="005F29BF"/>
    <w:rsid w:val="005F55A7"/>
    <w:rsid w:val="006E5E36"/>
    <w:rsid w:val="006E7E67"/>
    <w:rsid w:val="00731591"/>
    <w:rsid w:val="007649FD"/>
    <w:rsid w:val="00792228"/>
    <w:rsid w:val="0084267E"/>
    <w:rsid w:val="008B208E"/>
    <w:rsid w:val="008C177A"/>
    <w:rsid w:val="0091260C"/>
    <w:rsid w:val="00950374"/>
    <w:rsid w:val="009976F5"/>
    <w:rsid w:val="00A71627"/>
    <w:rsid w:val="00B535B8"/>
    <w:rsid w:val="00B82E66"/>
    <w:rsid w:val="00C3590C"/>
    <w:rsid w:val="00C45352"/>
    <w:rsid w:val="00C923F4"/>
    <w:rsid w:val="00CB0565"/>
    <w:rsid w:val="00CB2765"/>
    <w:rsid w:val="00CF7B52"/>
    <w:rsid w:val="00D8125F"/>
    <w:rsid w:val="00D81A5B"/>
    <w:rsid w:val="00E27C15"/>
    <w:rsid w:val="00EB76F1"/>
    <w:rsid w:val="00F80166"/>
    <w:rsid w:val="00FF2165"/>
    <w:rsid w:val="23286FC0"/>
    <w:rsid w:val="707A0058"/>
    <w:rsid w:val="71E82EE1"/>
    <w:rsid w:val="7398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Pages>
  <Words>2117</Words>
  <Characters>2317</Characters>
  <Lines>18</Lines>
  <Paragraphs>5</Paragraphs>
  <TotalTime>6</TotalTime>
  <ScaleCrop>false</ScaleCrop>
  <LinksUpToDate>false</LinksUpToDate>
  <CharactersWithSpaces>2446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2026-02-06T07:04:00Z</dcterms:created>
  <dc:creator>ASUS</dc:creator>
  <cp:lastModifiedBy>伍崇兴</cp:lastModifiedBy>
  <dcterms:modified xsi:type="dcterms:W3CDTF">2026-03-12T03:07:42Z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eyJoZGlkIjoiN2I3NjVkZWVjYWQ0Y2NjNTM1YzU3YjRjMWY5MDRjNDIiLCJ1c2VySWQiOiIxNjc3ODQxMDQxIn0=</vt:lpwstr>
  </property>
  <property fmtid="{D5CDD505-2E9C-101B-9397-08002B2CF9AE}" pid="3" name="KSOProductBuildVer">
    <vt:lpwstr>2052-12.1.0.25225</vt:lpwstr>
  </property>
  <property fmtid="{D5CDD505-2E9C-101B-9397-08002B2CF9AE}" pid="4" name="ICV">
    <vt:lpwstr>4B226D4E4BE84DD3B334601648B89A90_12</vt:lpwstr>
  </property>
</Properties>
</file>