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C9DBB">
      <w:pPr>
        <w:jc w:val="center"/>
        <w:rPr>
          <w:rFonts w:eastAsia="黑体"/>
          <w:sz w:val="36"/>
        </w:rPr>
      </w:pPr>
    </w:p>
    <w:p w14:paraId="4692F328">
      <w:pPr>
        <w:spacing w:line="400" w:lineRule="exact"/>
        <w:jc w:val="center"/>
        <w:rPr>
          <w:rFonts w:eastAsia="黑体"/>
          <w:sz w:val="36"/>
        </w:rPr>
      </w:pPr>
    </w:p>
    <w:p w14:paraId="155FEC91">
      <w:pPr>
        <w:jc w:val="distribute"/>
        <w:rPr>
          <w:rFonts w:eastAsia="方正小标宋简体"/>
          <w:spacing w:val="-104"/>
          <w:w w:val="80"/>
          <w:sz w:val="84"/>
          <w:szCs w:val="84"/>
        </w:rPr>
      </w:pPr>
      <w:r>
        <w:rPr>
          <w:rFonts w:eastAsia="方正小标宋简体"/>
          <w:color w:val="FF0000"/>
          <w:spacing w:val="-104"/>
          <w:w w:val="80"/>
          <w:sz w:val="84"/>
          <w:szCs w:val="84"/>
        </w:rPr>
        <w:t>重庆市开州区</w:t>
      </w:r>
      <w:r>
        <w:rPr>
          <w:rFonts w:hint="eastAsia" w:eastAsia="方正小标宋简体"/>
          <w:color w:val="FF0000"/>
          <w:spacing w:val="-104"/>
          <w:w w:val="80"/>
          <w:sz w:val="84"/>
          <w:szCs w:val="84"/>
        </w:rPr>
        <w:t>九龙山中心幼儿园</w:t>
      </w:r>
    </w:p>
    <w:p w14:paraId="4E9E6D05">
      <w:pPr>
        <w:spacing w:line="400" w:lineRule="exact"/>
        <w:jc w:val="center"/>
        <w:rPr>
          <w:rFonts w:eastAsia="黑体"/>
          <w:sz w:val="36"/>
        </w:rPr>
      </w:pPr>
    </w:p>
    <w:p w14:paraId="2B829A74">
      <w:pPr>
        <w:spacing w:line="100" w:lineRule="exact"/>
        <w:jc w:val="center"/>
        <w:rPr>
          <w:rFonts w:eastAsia="黑体"/>
          <w:sz w:val="36"/>
        </w:rPr>
      </w:pPr>
    </w:p>
    <w:p w14:paraId="7CCF1B10">
      <w:pPr>
        <w:spacing w:line="60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rPr>
        <w:t>开州</w:t>
      </w:r>
      <w:r>
        <w:rPr>
          <w:rFonts w:hint="eastAsia" w:ascii="Times New Roman" w:hAnsi="Times New Roman" w:eastAsia="方正仿宋_GBK" w:cs="Times New Roman"/>
          <w:sz w:val="32"/>
        </w:rPr>
        <w:t>九幼发</w:t>
      </w:r>
      <w:r>
        <w:rPr>
          <w:rFonts w:ascii="Times New Roman" w:hAnsi="Times New Roman" w:eastAsia="方正仿宋_GBK" w:cs="Times New Roman"/>
          <w:color w:val="000000"/>
          <w:sz w:val="32"/>
          <w:szCs w:val="32"/>
        </w:rPr>
        <w:t>〔2026〕</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rPr>
        <w:t>号</w:t>
      </w:r>
      <w:r>
        <w:rPr>
          <w:rFonts w:hint="eastAsia" w:ascii="Times New Roman" w:hAnsi="Times New Roman" w:eastAsia="方正仿宋_GBK" w:cs="Times New Roman"/>
          <w:sz w:val="32"/>
        </w:rPr>
        <w:t xml:space="preserve">           </w:t>
      </w:r>
      <w:r>
        <w:rPr>
          <w:rFonts w:ascii="Times New Roman" w:hAnsi="Times New Roman" w:eastAsia="方正仿宋_GBK" w:cs="Times New Roman"/>
          <w:sz w:val="32"/>
        </w:rPr>
        <w:t>签发人：</w:t>
      </w:r>
      <w:r>
        <w:rPr>
          <w:rFonts w:hint="eastAsia" w:ascii="Times New Roman" w:hAnsi="Times New Roman" w:eastAsia="方正仿宋_GBK" w:cs="Times New Roman"/>
          <w:sz w:val="32"/>
        </w:rPr>
        <w:t>李小琴</w:t>
      </w:r>
    </w:p>
    <w:p w14:paraId="057645EA">
      <w:pPr>
        <w:spacing w:line="300" w:lineRule="exact"/>
        <w:rPr>
          <w:rFonts w:eastAsia="方正小标宋简体"/>
          <w:sz w:val="42"/>
          <w:szCs w:val="44"/>
          <w:u w:val="thick" w:color="FF0000"/>
        </w:rPr>
      </w:pPr>
    </w:p>
    <w:p w14:paraId="5A8C2753">
      <w:pPr>
        <w:spacing w:line="600" w:lineRule="exact"/>
        <w:jc w:val="center"/>
        <w:rPr>
          <w:rFonts w:eastAsia="方正小标宋简体"/>
          <w:sz w:val="44"/>
          <w:szCs w:val="44"/>
        </w:rPr>
      </w:pPr>
    </w:p>
    <w:p w14:paraId="4E978CFA"/>
    <w:p w14:paraId="45113A60">
      <w:pPr>
        <w:pStyle w:val="2"/>
        <w:spacing w:line="620" w:lineRule="exact"/>
        <w:ind w:firstLine="0" w:firstLineChars="0"/>
        <w:jc w:val="center"/>
        <w:rPr>
          <w:rFonts w:ascii="Times New Roman" w:hAnsi="Times New Roman" w:eastAsia="方正小标宋_GBK" w:cs="Times New Roman"/>
          <w:szCs w:val="32"/>
        </w:rPr>
      </w:pPr>
      <w:r>
        <w:rPr>
          <w:rFonts w:ascii="Times New Roman" w:hAnsi="Times New Roman" w:eastAsia="方正小标宋_GBK" w:cs="Times New Roman"/>
          <w:color w:val="000000"/>
          <w:sz w:val="44"/>
          <w:szCs w:val="44"/>
        </w:rPr>
        <w:t>重庆市开州区</w:t>
      </w:r>
      <w:r>
        <w:rPr>
          <w:rFonts w:hint="eastAsia" w:ascii="Times New Roman" w:hAnsi="Times New Roman" w:eastAsia="方正小标宋_GBK" w:cs="Times New Roman"/>
          <w:color w:val="000000"/>
          <w:sz w:val="44"/>
          <w:szCs w:val="44"/>
        </w:rPr>
        <w:t>九龙山中心幼儿园</w:t>
      </w:r>
    </w:p>
    <w:p w14:paraId="179C36F5">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关于2026年部门预算情况公开的公示</w:t>
      </w:r>
    </w:p>
    <w:p w14:paraId="738B4B0F">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按照有关财政预算公开的部署和要求，依据《中华人民共和国政府信息公开条例》（国务院令第492号）和重庆市开州区财政局《关于批复2026年部门预算的通知》（开</w:t>
      </w:r>
      <w:r>
        <w:rPr>
          <w:rFonts w:hint="eastAsia" w:ascii="Times New Roman" w:hAnsi="Times New Roman" w:eastAsia="方正仿宋_GBK" w:cs="Times New Roman"/>
          <w:sz w:val="32"/>
          <w:szCs w:val="32"/>
        </w:rPr>
        <w:t>州财教发</w:t>
      </w:r>
      <w:r>
        <w:rPr>
          <w:rFonts w:ascii="Times New Roman" w:hAnsi="Times New Roman" w:eastAsia="方正仿宋_GBK" w:cs="Times New Roman"/>
          <w:sz w:val="32"/>
          <w:szCs w:val="32"/>
        </w:rPr>
        <w:t>〔2026〕</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号）,现将重庆市开州区九龙山中心幼儿园2026年部门预算批复情况公开如下：</w:t>
      </w:r>
    </w:p>
    <w:p w14:paraId="49782653">
      <w:pPr>
        <w:jc w:val="center"/>
        <w:rPr>
          <w:rFonts w:ascii="Times New Roman" w:hAnsi="Times New Roman" w:eastAsia="方正黑体_GBK" w:cs="Times New Roman"/>
          <w:sz w:val="32"/>
          <w:szCs w:val="32"/>
        </w:rPr>
      </w:pPr>
    </w:p>
    <w:p w14:paraId="72DAE555">
      <w:pPr>
        <w:jc w:val="center"/>
        <w:rPr>
          <w:rFonts w:ascii="Times New Roman" w:hAnsi="Times New Roman" w:eastAsia="方正黑体_GBK" w:cs="Times New Roman"/>
          <w:sz w:val="32"/>
          <w:szCs w:val="32"/>
        </w:rPr>
      </w:pPr>
    </w:p>
    <w:p w14:paraId="1F98FAF9">
      <w:pPr>
        <w:jc w:val="center"/>
        <w:rPr>
          <w:rFonts w:ascii="Times New Roman" w:hAnsi="Times New Roman" w:eastAsia="方正黑体_GBK" w:cs="Times New Roman"/>
          <w:sz w:val="32"/>
          <w:szCs w:val="32"/>
        </w:rPr>
      </w:pPr>
    </w:p>
    <w:p w14:paraId="202D6EA2">
      <w:pPr>
        <w:jc w:val="center"/>
        <w:rPr>
          <w:rFonts w:ascii="Times New Roman" w:hAnsi="Times New Roman" w:eastAsia="方正小标宋_GBK" w:cs="Times New Roman"/>
          <w:sz w:val="44"/>
          <w:szCs w:val="44"/>
        </w:rPr>
      </w:pPr>
    </w:p>
    <w:p w14:paraId="4BA6D0A5">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目    录</w:t>
      </w:r>
    </w:p>
    <w:p w14:paraId="080A7EEF">
      <w:pPr>
        <w:rPr>
          <w:rFonts w:ascii="Times New Roman" w:hAnsi="Times New Roman" w:cs="Times New Roman"/>
        </w:rPr>
      </w:pPr>
    </w:p>
    <w:p w14:paraId="2034A901">
      <w:pPr>
        <w:jc w:val="center"/>
        <w:rPr>
          <w:rFonts w:ascii="Times New Roman" w:hAnsi="Times New Roman" w:eastAsia="方正楷体_GBK" w:cs="Times New Roman"/>
          <w:sz w:val="32"/>
          <w:szCs w:val="32"/>
        </w:rPr>
      </w:pPr>
      <w:r>
        <w:rPr>
          <w:rFonts w:ascii="Times New Roman" w:hAnsi="Times New Roman" w:eastAsia="方正楷体_GBK" w:cs="Times New Roman"/>
          <w:sz w:val="32"/>
          <w:szCs w:val="32"/>
        </w:rPr>
        <w:t>第一部分：2026年部门预算情况说明</w:t>
      </w:r>
    </w:p>
    <w:p w14:paraId="1FE68D30">
      <w:pPr>
        <w:rPr>
          <w:rFonts w:ascii="Times New Roman" w:hAnsi="Times New Roman" w:cs="Times New Roman"/>
        </w:rPr>
      </w:pPr>
    </w:p>
    <w:p w14:paraId="49726F18">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一、单位基本情况</w:t>
      </w:r>
    </w:p>
    <w:p w14:paraId="21D908D8">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二、部门收支总体情况</w:t>
      </w:r>
    </w:p>
    <w:p w14:paraId="1A9D6464">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三、部门预算情况说明</w:t>
      </w:r>
    </w:p>
    <w:p w14:paraId="0F30ED6F">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四、“三公”经费情况说明</w:t>
      </w:r>
    </w:p>
    <w:p w14:paraId="19467A40">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五、其他重要事项的情况说明</w:t>
      </w:r>
    </w:p>
    <w:p w14:paraId="3FA351F7">
      <w:pPr>
        <w:rPr>
          <w:rFonts w:ascii="Times New Roman" w:hAnsi="Times New Roman" w:eastAsia="方正仿宋_GBK" w:cs="Times New Roman"/>
          <w:sz w:val="32"/>
          <w:szCs w:val="32"/>
        </w:rPr>
      </w:pPr>
      <w:r>
        <w:rPr>
          <w:rFonts w:ascii="Times New Roman" w:hAnsi="Times New Roman" w:eastAsia="方正仿宋_GBK" w:cs="Times New Roman"/>
          <w:sz w:val="32"/>
          <w:szCs w:val="32"/>
        </w:rPr>
        <w:t>六、专业性名词解释</w:t>
      </w:r>
    </w:p>
    <w:p w14:paraId="0A883389">
      <w:pPr>
        <w:rPr>
          <w:rFonts w:ascii="Times New Roman" w:hAnsi="Times New Roman" w:eastAsia="方正仿宋_GBK" w:cs="Times New Roman"/>
          <w:sz w:val="32"/>
          <w:szCs w:val="32"/>
        </w:rPr>
      </w:pPr>
    </w:p>
    <w:p w14:paraId="23D476FB">
      <w:pPr>
        <w:jc w:val="center"/>
        <w:rPr>
          <w:rFonts w:ascii="Times New Roman" w:hAnsi="Times New Roman" w:cs="Times New Roman"/>
        </w:rPr>
      </w:pPr>
      <w:r>
        <w:rPr>
          <w:rFonts w:ascii="Times New Roman" w:hAnsi="Times New Roman" w:eastAsia="方正楷体_GBK" w:cs="Times New Roman"/>
          <w:sz w:val="32"/>
          <w:szCs w:val="32"/>
        </w:rPr>
        <w:t>第二部分：2026年部门预算公开报表</w:t>
      </w:r>
    </w:p>
    <w:p w14:paraId="0B9577F6">
      <w:pPr>
        <w:rPr>
          <w:rFonts w:ascii="Times New Roman" w:hAnsi="Times New Roman" w:cs="Times New Roman"/>
        </w:rPr>
      </w:pPr>
    </w:p>
    <w:p w14:paraId="480474B3">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表1、重庆市开州区九龙山中心幼儿园收支预算总表</w:t>
      </w:r>
    </w:p>
    <w:p w14:paraId="7D4FE791">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表2、重庆市开州区九龙山中心幼儿园收入总表</w:t>
      </w:r>
    </w:p>
    <w:p w14:paraId="034B9A29">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表3、重庆市开州区九龙山中心幼儿园本年支出预算总表</w:t>
      </w:r>
    </w:p>
    <w:p w14:paraId="6F814466">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表4、重庆市开州区九龙山中心幼儿园财政拨款收支预算总表</w:t>
      </w:r>
    </w:p>
    <w:p w14:paraId="2B2EB29B">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表5、重庆市开州区九龙山中心幼儿园本年一般公共预算支出预算表</w:t>
      </w:r>
    </w:p>
    <w:p w14:paraId="05DAFB2B">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表6、重庆市开州区九龙山中心幼儿园一般公共预算基本支出预算表</w:t>
      </w:r>
    </w:p>
    <w:p w14:paraId="72317862">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表7、重庆市开州区九龙山中心幼儿园一般公共预算“三公”经费支出预算表</w:t>
      </w:r>
    </w:p>
    <w:p w14:paraId="6370FC11">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表8、重庆市开州区九龙山中心幼儿园政府性基金预算支出预算表</w:t>
      </w:r>
    </w:p>
    <w:p w14:paraId="36CFBD5D">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表9、重庆市开州区九龙山中心幼儿园国有资本经营预算支出预算表</w:t>
      </w:r>
    </w:p>
    <w:p w14:paraId="178C7E26">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表10、重庆市开州区九龙山中心幼儿园项目支出表</w:t>
      </w:r>
    </w:p>
    <w:p w14:paraId="0B6911FD">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表11、2026年重庆市开州区九龙山中心幼儿园项目绩效目标表</w:t>
      </w:r>
    </w:p>
    <w:p w14:paraId="7CCD85B0">
      <w:pPr>
        <w:rPr>
          <w:rFonts w:ascii="Times New Roman" w:hAnsi="Times New Roman" w:cs="Times New Roman"/>
        </w:rPr>
      </w:pPr>
      <w:r>
        <w:rPr>
          <w:rFonts w:eastAsia="方正仿宋_GBK"/>
          <w:b/>
          <w:bCs/>
          <w:sz w:val="32"/>
          <w:szCs w:val="32"/>
        </w:rPr>
        <w:t>注：上述表格详见附表《</w:t>
      </w:r>
      <w:r>
        <w:rPr>
          <w:rFonts w:ascii="Times New Roman" w:hAnsi="Times New Roman" w:eastAsia="方正仿宋_GBK" w:cs="Times New Roman"/>
          <w:b/>
          <w:sz w:val="32"/>
          <w:szCs w:val="32"/>
        </w:rPr>
        <w:t>重庆市开州区九龙山中心幼儿园</w:t>
      </w:r>
      <w:r>
        <w:rPr>
          <w:rFonts w:eastAsia="方正仿宋_GBK"/>
          <w:b/>
          <w:bCs/>
          <w:sz w:val="32"/>
          <w:szCs w:val="32"/>
        </w:rPr>
        <w:t>2026年部门预算公开报表》。</w:t>
      </w:r>
    </w:p>
    <w:p w14:paraId="13208176">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r>
        <w:rPr>
          <w:rFonts w:ascii="Times New Roman" w:hAnsi="Times New Roman" w:eastAsia="方正小标宋_GBK" w:cs="Times New Roman"/>
          <w:sz w:val="44"/>
          <w:szCs w:val="44"/>
        </w:rPr>
        <w:t>第一部分：2026年部门预算情况说明</w:t>
      </w:r>
    </w:p>
    <w:p w14:paraId="3F238D06">
      <w:pPr>
        <w:spacing w:line="600" w:lineRule="exact"/>
        <w:ind w:firstLine="880" w:firstLineChars="200"/>
        <w:jc w:val="center"/>
        <w:rPr>
          <w:rFonts w:ascii="Times New Roman" w:hAnsi="Times New Roman" w:eastAsia="华文中宋" w:cs="Times New Roman"/>
          <w:sz w:val="44"/>
          <w:szCs w:val="44"/>
        </w:rPr>
      </w:pPr>
    </w:p>
    <w:p w14:paraId="26912C90">
      <w:pPr>
        <w:spacing w:line="600" w:lineRule="exact"/>
        <w:ind w:left="640"/>
        <w:rPr>
          <w:rFonts w:ascii="方正黑体_GBK" w:hAnsi="黑体" w:eastAsia="方正黑体_GBK" w:cs="仿宋_GB2312"/>
          <w:sz w:val="32"/>
        </w:rPr>
      </w:pPr>
      <w:r>
        <w:rPr>
          <w:rFonts w:hint="eastAsia" w:ascii="方正黑体_GBK" w:hAnsi="黑体" w:eastAsia="方正黑体_GBK" w:cs="仿宋_GB2312"/>
          <w:sz w:val="32"/>
        </w:rPr>
        <w:t>一、单位基本情况</w:t>
      </w:r>
    </w:p>
    <w:p w14:paraId="5BB27EC3">
      <w:pPr>
        <w:spacing w:line="600" w:lineRule="exact"/>
        <w:ind w:firstLine="640" w:firstLineChars="200"/>
        <w:rPr>
          <w:rFonts w:ascii="方正仿宋_GBK" w:hAnsi="仿宋_GB2312" w:eastAsia="方正仿宋_GBK" w:cs="仿宋_GB2312"/>
          <w:sz w:val="32"/>
        </w:rPr>
      </w:pPr>
      <w:r>
        <w:rPr>
          <w:rFonts w:hint="eastAsia" w:ascii="方正仿宋_GBK" w:hAnsi="仿宋_GB2312" w:eastAsia="方正仿宋_GBK" w:cs="仿宋_GB2312"/>
          <w:sz w:val="32"/>
        </w:rPr>
        <w:t>（一）职能职责</w:t>
      </w:r>
    </w:p>
    <w:p w14:paraId="38916912">
      <w:pPr>
        <w:spacing w:line="52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1.实行保育与教育相结合的原则，对幼儿实施体、智、德、美诸方面全面发展的教育，促进其身心和谐发展。</w:t>
      </w:r>
    </w:p>
    <w:p w14:paraId="3EDFB07C">
      <w:pPr>
        <w:spacing w:line="520" w:lineRule="exact"/>
        <w:ind w:firstLine="640" w:firstLineChars="200"/>
        <w:rPr>
          <w:rFonts w:ascii="方正仿宋_GBK" w:hAnsi="仿宋_GB2312" w:eastAsia="方正仿宋_GBK" w:cs="仿宋_GB2312"/>
          <w:sz w:val="32"/>
        </w:rPr>
      </w:pPr>
      <w:r>
        <w:rPr>
          <w:rFonts w:hint="eastAsia" w:ascii="方正仿宋_GBK" w:hAnsi="Calibri" w:eastAsia="方正仿宋_GBK" w:cs="Times New Roman"/>
          <w:sz w:val="32"/>
          <w:szCs w:val="32"/>
        </w:rPr>
        <w:t>2.做好入园孩子在园期间的安全监管、生理和心理卫生保健工作。</w:t>
      </w:r>
    </w:p>
    <w:p w14:paraId="576F35DC">
      <w:pPr>
        <w:pStyle w:val="26"/>
        <w:tabs>
          <w:tab w:val="center" w:pos="4153"/>
          <w:tab w:val="left" w:pos="7275"/>
        </w:tabs>
        <w:spacing w:line="600" w:lineRule="exact"/>
        <w:ind w:left="640" w:firstLine="0" w:firstLineChars="0"/>
        <w:jc w:val="left"/>
        <w:rPr>
          <w:rFonts w:ascii="方正仿宋_GBK" w:hAnsi="仿宋_GB2312" w:eastAsia="方正仿宋_GBK" w:cs="仿宋_GB2312"/>
          <w:sz w:val="32"/>
        </w:rPr>
      </w:pPr>
      <w:r>
        <w:rPr>
          <w:rFonts w:hint="eastAsia" w:ascii="方正仿宋_GBK" w:hAnsi="仿宋_GB2312" w:eastAsia="方正仿宋_GBK" w:cs="仿宋_GB2312"/>
          <w:sz w:val="32"/>
        </w:rPr>
        <w:t>（二）单位构成</w:t>
      </w:r>
    </w:p>
    <w:p w14:paraId="0EADE27A">
      <w:pPr>
        <w:spacing w:line="600" w:lineRule="exact"/>
        <w:ind w:firstLine="640" w:firstLineChars="200"/>
        <w:rPr>
          <w:rFonts w:ascii="方正仿宋_GBK" w:hAnsi="仿宋_GB2312" w:eastAsia="方正仿宋_GBK" w:cs="仿宋_GB2312"/>
          <w:sz w:val="32"/>
        </w:rPr>
      </w:pPr>
      <w:r>
        <w:rPr>
          <w:rFonts w:hint="eastAsia" w:ascii="方正仿宋_GBK" w:hAnsi="方正仿宋_GBK" w:eastAsia="方正仿宋_GBK" w:cs="方正仿宋_GBK"/>
          <w:sz w:val="32"/>
          <w:szCs w:val="32"/>
          <w:shd w:val="clear" w:color="auto" w:fill="FFFFFF"/>
        </w:rPr>
        <w:t>重庆市开州区九龙山中心幼儿园内设3个职能处室（开州编委发〔2016〕67号），分别为综合办、保教处、安稳办。</w:t>
      </w:r>
    </w:p>
    <w:p w14:paraId="7B0322C1">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14:paraId="2D630FAF">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278.62</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84.58</w:t>
      </w:r>
      <w:r>
        <w:rPr>
          <w:rFonts w:ascii="Times New Roman" w:hAnsi="Times New Roman" w:eastAsia="方正仿宋_GBK" w:cs="Times New Roman"/>
          <w:sz w:val="32"/>
        </w:rPr>
        <w:t>万元，其中：一般公共预算拨款收入</w:t>
      </w:r>
      <w:r>
        <w:rPr>
          <w:rFonts w:hint="eastAsia" w:ascii="Times New Roman" w:hAnsi="Times New Roman" w:eastAsia="方正仿宋_GBK" w:cs="Times New Roman"/>
          <w:sz w:val="32"/>
        </w:rPr>
        <w:t>278.62</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84.58</w:t>
      </w:r>
      <w:r>
        <w:rPr>
          <w:rFonts w:ascii="Times New Roman" w:hAnsi="Times New Roman" w:eastAsia="方正仿宋_GBK" w:cs="Times New Roman"/>
          <w:sz w:val="32"/>
        </w:rPr>
        <w:t>万元。收入较2025年增加</w:t>
      </w:r>
      <w:r>
        <w:rPr>
          <w:rFonts w:hint="eastAsia" w:ascii="Times New Roman" w:hAnsi="Times New Roman" w:eastAsia="方正仿宋_GBK" w:cs="Times New Roman"/>
          <w:sz w:val="32"/>
        </w:rPr>
        <w:t>98.96</w:t>
      </w:r>
      <w:r>
        <w:rPr>
          <w:rFonts w:ascii="Times New Roman" w:hAnsi="Times New Roman" w:eastAsia="方正仿宋_GBK" w:cs="Times New Roman"/>
          <w:sz w:val="32"/>
        </w:rPr>
        <w:t>万元，主要是</w:t>
      </w:r>
      <w:r>
        <w:rPr>
          <w:rFonts w:hint="eastAsia" w:ascii="Times New Roman" w:hAnsi="Times New Roman" w:eastAsia="方正仿宋_GBK" w:cs="Times New Roman"/>
          <w:sz w:val="32"/>
        </w:rPr>
        <w:t>人员经费增加33.42万元、公用经费减少1.46万元，项目支出经费增加66.99</w:t>
      </w:r>
      <w:r>
        <w:rPr>
          <w:rFonts w:ascii="Times New Roman" w:hAnsi="Times New Roman" w:eastAsia="方正仿宋_GBK" w:cs="Times New Roman"/>
          <w:sz w:val="32"/>
        </w:rPr>
        <w:t>万元。</w:t>
      </w:r>
    </w:p>
    <w:p w14:paraId="6D83184D">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278.62</w:t>
      </w:r>
      <w:r>
        <w:rPr>
          <w:rFonts w:ascii="Times New Roman" w:hAnsi="Times New Roman" w:eastAsia="方正仿宋_GBK" w:cs="Times New Roman"/>
          <w:sz w:val="32"/>
        </w:rPr>
        <w:t>万元，其中：教育支出预算</w:t>
      </w:r>
      <w:r>
        <w:rPr>
          <w:rFonts w:hint="eastAsia" w:ascii="Times New Roman" w:hAnsi="Times New Roman" w:eastAsia="方正仿宋_GBK" w:cs="Times New Roman"/>
          <w:sz w:val="32"/>
        </w:rPr>
        <w:t>237.98</w:t>
      </w:r>
      <w:r>
        <w:rPr>
          <w:rFonts w:ascii="Times New Roman" w:hAnsi="Times New Roman" w:eastAsia="方正仿宋_GBK" w:cs="Times New Roman"/>
          <w:sz w:val="32"/>
        </w:rPr>
        <w:t>万元，社会保障和就业支出预算</w:t>
      </w:r>
      <w:r>
        <w:rPr>
          <w:rFonts w:hint="eastAsia" w:ascii="Times New Roman" w:hAnsi="Times New Roman" w:eastAsia="方正仿宋_GBK" w:cs="Times New Roman"/>
          <w:sz w:val="32"/>
        </w:rPr>
        <w:t>23.92</w:t>
      </w:r>
      <w:r>
        <w:rPr>
          <w:rFonts w:ascii="Times New Roman" w:hAnsi="Times New Roman" w:eastAsia="方正仿宋_GBK" w:cs="Times New Roman"/>
          <w:sz w:val="32"/>
        </w:rPr>
        <w:t>万元，卫生健康支出预算</w:t>
      </w:r>
      <w:r>
        <w:rPr>
          <w:rFonts w:hint="eastAsia" w:ascii="Times New Roman" w:hAnsi="Times New Roman" w:eastAsia="方正仿宋_GBK" w:cs="Times New Roman"/>
          <w:sz w:val="32"/>
        </w:rPr>
        <w:t>8.69</w:t>
      </w:r>
      <w:r>
        <w:rPr>
          <w:rFonts w:ascii="Times New Roman" w:hAnsi="Times New Roman" w:eastAsia="方正仿宋_GBK" w:cs="Times New Roman"/>
          <w:sz w:val="32"/>
        </w:rPr>
        <w:t>万元，住房保障支出预算</w:t>
      </w:r>
      <w:r>
        <w:rPr>
          <w:rFonts w:hint="eastAsia" w:ascii="Times New Roman" w:hAnsi="Times New Roman" w:eastAsia="方正仿宋_GBK" w:cs="Times New Roman"/>
          <w:sz w:val="32"/>
        </w:rPr>
        <w:t>8.03</w:t>
      </w:r>
      <w:r>
        <w:rPr>
          <w:rFonts w:ascii="Times New Roman" w:hAnsi="Times New Roman" w:eastAsia="方正仿宋_GBK" w:cs="Times New Roman"/>
          <w:sz w:val="32"/>
        </w:rPr>
        <w:t>万元。支出预算较2025年增加</w:t>
      </w:r>
      <w:r>
        <w:rPr>
          <w:rFonts w:hint="eastAsia" w:ascii="Times New Roman" w:hAnsi="Times New Roman" w:eastAsia="方正仿宋_GBK" w:cs="Times New Roman"/>
          <w:sz w:val="32"/>
        </w:rPr>
        <w:t>98.96</w:t>
      </w:r>
      <w:r>
        <w:rPr>
          <w:rFonts w:ascii="Times New Roman" w:hAnsi="Times New Roman" w:eastAsia="方正仿宋_GBK" w:cs="Times New Roman"/>
          <w:sz w:val="32"/>
        </w:rPr>
        <w:t>万元，主要是基本支出预算增加</w:t>
      </w:r>
      <w:r>
        <w:rPr>
          <w:rFonts w:hint="eastAsia" w:ascii="Times New Roman" w:hAnsi="Times New Roman" w:eastAsia="方正仿宋_GBK" w:cs="Times New Roman"/>
          <w:sz w:val="32"/>
        </w:rPr>
        <w:t>31.97</w:t>
      </w:r>
      <w:r>
        <w:rPr>
          <w:rFonts w:ascii="Times New Roman" w:hAnsi="Times New Roman" w:eastAsia="方正仿宋_GBK" w:cs="Times New Roman"/>
          <w:sz w:val="32"/>
        </w:rPr>
        <w:t>万元，项目支出预算增加</w:t>
      </w:r>
      <w:r>
        <w:rPr>
          <w:rFonts w:hint="eastAsia" w:ascii="Times New Roman" w:hAnsi="Times New Roman" w:eastAsia="方正仿宋_GBK" w:cs="Times New Roman"/>
          <w:sz w:val="32"/>
        </w:rPr>
        <w:t>66.99</w:t>
      </w:r>
      <w:r>
        <w:rPr>
          <w:rFonts w:ascii="Times New Roman" w:hAnsi="Times New Roman" w:eastAsia="方正仿宋_GBK" w:cs="Times New Roman"/>
          <w:sz w:val="32"/>
        </w:rPr>
        <w:t>万元。</w:t>
      </w:r>
    </w:p>
    <w:p w14:paraId="3DC7287F">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14:paraId="625682C2">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2026年一般公共预算财政拨款收入</w:t>
      </w:r>
      <w:r>
        <w:rPr>
          <w:rFonts w:hint="eastAsia" w:ascii="Times New Roman" w:hAnsi="Times New Roman" w:eastAsia="方正仿宋_GBK" w:cs="Times New Roman"/>
          <w:sz w:val="32"/>
        </w:rPr>
        <w:t>278.62</w:t>
      </w:r>
      <w:r>
        <w:rPr>
          <w:rFonts w:ascii="Times New Roman" w:hAnsi="Times New Roman" w:eastAsia="方正仿宋_GBK" w:cs="Times New Roman"/>
          <w:sz w:val="32"/>
        </w:rPr>
        <w:t>万元，一般公共预算财政拨款支出</w:t>
      </w:r>
      <w:r>
        <w:rPr>
          <w:rFonts w:hint="eastAsia" w:ascii="Times New Roman" w:hAnsi="Times New Roman" w:eastAsia="方正仿宋_GBK" w:cs="Times New Roman"/>
          <w:sz w:val="32"/>
        </w:rPr>
        <w:t>278.62</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98.96</w:t>
      </w:r>
      <w:r>
        <w:rPr>
          <w:rFonts w:ascii="Times New Roman" w:hAnsi="Times New Roman" w:eastAsia="方正仿宋_GBK" w:cs="Times New Roman"/>
          <w:sz w:val="32"/>
        </w:rPr>
        <w:t>万元。其中：基本支出</w:t>
      </w:r>
      <w:r>
        <w:rPr>
          <w:rFonts w:hint="eastAsia" w:ascii="Times New Roman" w:hAnsi="Times New Roman" w:eastAsia="方正仿宋_GBK" w:cs="Times New Roman"/>
          <w:sz w:val="32"/>
        </w:rPr>
        <w:t>174.24</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31.97</w:t>
      </w:r>
      <w:r>
        <w:rPr>
          <w:rFonts w:ascii="Times New Roman" w:hAnsi="Times New Roman" w:eastAsia="方正仿宋_GBK" w:cs="Times New Roman"/>
          <w:sz w:val="32"/>
        </w:rPr>
        <w:t>万元，主要原因是</w:t>
      </w:r>
      <w:r>
        <w:rPr>
          <w:rFonts w:hint="eastAsia" w:ascii="Times New Roman" w:hAnsi="Times New Roman" w:eastAsia="方正仿宋_GBK" w:cs="Times New Roman"/>
          <w:sz w:val="32"/>
        </w:rPr>
        <w:t>本年在职人员比上年增加2人，工资福利等人员经费拨款比上年增加。</w:t>
      </w:r>
      <w:r>
        <w:rPr>
          <w:rFonts w:ascii="Times New Roman" w:hAnsi="Times New Roman" w:eastAsia="方正仿宋_GBK" w:cs="Times New Roman"/>
          <w:sz w:val="32"/>
        </w:rPr>
        <w:t>主要用于保障在职人员工资福利及社会保险缴费，保障部门正常运转的各项商品服务支出；项目支出</w:t>
      </w:r>
      <w:r>
        <w:rPr>
          <w:rFonts w:hint="eastAsia" w:ascii="Times New Roman" w:hAnsi="Times New Roman" w:eastAsia="方正仿宋_GBK" w:cs="Times New Roman"/>
          <w:sz w:val="32"/>
        </w:rPr>
        <w:t>104.38</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66.99</w:t>
      </w:r>
      <w:r>
        <w:rPr>
          <w:rFonts w:ascii="Times New Roman" w:hAnsi="Times New Roman" w:eastAsia="方正仿宋_GBK" w:cs="Times New Roman"/>
          <w:sz w:val="32"/>
        </w:rPr>
        <w:t>万元，主要原因是</w:t>
      </w:r>
      <w:r>
        <w:rPr>
          <w:rFonts w:hint="eastAsia" w:ascii="Times New Roman" w:hAnsi="Times New Roman" w:eastAsia="方正仿宋_GBK" w:cs="Times New Roman"/>
          <w:sz w:val="32"/>
        </w:rPr>
        <w:t>2025年新园建设征地费资金结转至本年使用。</w:t>
      </w:r>
      <w:r>
        <w:rPr>
          <w:rFonts w:ascii="Times New Roman" w:hAnsi="Times New Roman" w:eastAsia="方正仿宋_GBK" w:cs="Times New Roman"/>
          <w:sz w:val="32"/>
        </w:rPr>
        <w:t>主要用于</w:t>
      </w:r>
      <w:r>
        <w:rPr>
          <w:rFonts w:hint="eastAsia" w:ascii="Times New Roman" w:hAnsi="Times New Roman" w:eastAsia="方正仿宋_GBK" w:cs="Times New Roman"/>
          <w:sz w:val="32"/>
        </w:rPr>
        <w:t>新园建设征地费、学前营改膳食补助、电路线路改造、免保教费补助及学生资助等</w:t>
      </w:r>
      <w:r>
        <w:rPr>
          <w:rFonts w:ascii="Times New Roman" w:hAnsi="Times New Roman" w:eastAsia="方正仿宋_GBK" w:cs="Times New Roman"/>
          <w:sz w:val="32"/>
        </w:rPr>
        <w:t>重点工作。</w:t>
      </w:r>
    </w:p>
    <w:p w14:paraId="116339EB">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szCs w:val="32"/>
        </w:rPr>
        <w:t>重庆市开州区九龙山中心幼儿园</w:t>
      </w:r>
      <w:r>
        <w:rPr>
          <w:rFonts w:ascii="Times New Roman" w:hAnsi="Times New Roman" w:eastAsia="方正仿宋_GBK" w:cs="Times New Roman"/>
          <w:sz w:val="32"/>
        </w:rPr>
        <w:t>2026年无使用政府性基金预算拨款安排的支出</w:t>
      </w:r>
      <w:r>
        <w:rPr>
          <w:rFonts w:hint="eastAsia" w:ascii="Times New Roman" w:hAnsi="Times New Roman" w:eastAsia="方正仿宋_GBK" w:cs="Times New Roman"/>
          <w:sz w:val="32"/>
        </w:rPr>
        <w:t>。</w:t>
      </w:r>
    </w:p>
    <w:p w14:paraId="4906573E">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四、“三公”经费情况说明</w:t>
      </w:r>
    </w:p>
    <w:p w14:paraId="435ED2D1">
      <w:pPr>
        <w:spacing w:line="600" w:lineRule="exact"/>
        <w:ind w:firstLine="600"/>
        <w:rPr>
          <w:rFonts w:ascii="方正仿宋_GBK" w:hAnsi="仿宋_GB2312" w:eastAsia="方正仿宋_GBK" w:cs="仿宋_GB2312"/>
          <w:sz w:val="32"/>
        </w:rPr>
      </w:pPr>
      <w:r>
        <w:rPr>
          <w:rFonts w:hint="eastAsia" w:ascii="Times New Roman" w:hAnsi="Times New Roman" w:eastAsia="方正仿宋_GBK" w:cs="Times New Roman"/>
          <w:sz w:val="32"/>
        </w:rPr>
        <w:t>2026年“三公”经费预算0万元，与2025年持平。</w:t>
      </w:r>
    </w:p>
    <w:p w14:paraId="0FD12298">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14:paraId="178CA601">
      <w:pPr>
        <w:ind w:firstLine="640" w:firstLineChars="200"/>
        <w:rPr>
          <w:rFonts w:ascii="Times New Roman" w:hAnsi="Times New Roman" w:eastAsia="方正仿宋_GBK" w:cs="Times New Roman"/>
          <w:sz w:val="32"/>
        </w:rPr>
      </w:pPr>
      <w:r>
        <w:rPr>
          <w:rFonts w:ascii="Times New Roman" w:hAnsi="Times New Roman" w:eastAsia="方正楷体_GBK" w:cs="Times New Roman"/>
          <w:sz w:val="32"/>
          <w:szCs w:val="32"/>
        </w:rPr>
        <w:t>（一）</w:t>
      </w:r>
      <w:r>
        <w:rPr>
          <w:rFonts w:ascii="Times New Roman" w:hAnsi="Times New Roman" w:eastAsia="方正仿宋_GBK" w:cs="Times New Roman"/>
          <w:sz w:val="32"/>
        </w:rPr>
        <w:t>我单位不在机关运行经费统计范围之内。</w:t>
      </w:r>
    </w:p>
    <w:p w14:paraId="4C448C1E">
      <w:pPr>
        <w:spacing w:line="600" w:lineRule="exact"/>
        <w:ind w:firstLine="600"/>
        <w:rPr>
          <w:rFonts w:ascii="方正仿宋_GBK" w:hAnsi="仿宋_GB2312" w:eastAsia="方正仿宋_GBK" w:cs="仿宋_GB2312"/>
          <w:sz w:val="32"/>
        </w:rPr>
      </w:pPr>
      <w:r>
        <w:rPr>
          <w:rFonts w:ascii="Times New Roman" w:hAnsi="Times New Roman" w:eastAsia="方正楷体_GBK" w:cs="Times New Roman"/>
          <w:sz w:val="32"/>
          <w:szCs w:val="32"/>
        </w:rPr>
        <w:t>（二）</w:t>
      </w:r>
      <w:r>
        <w:rPr>
          <w:rFonts w:ascii="Times New Roman" w:hAnsi="Times New Roman" w:eastAsia="方正仿宋_GBK" w:cs="Times New Roman"/>
          <w:b/>
          <w:sz w:val="32"/>
        </w:rPr>
        <w:t>政府采购情况。</w:t>
      </w:r>
      <w:r>
        <w:rPr>
          <w:rFonts w:hint="eastAsia" w:ascii="Times New Roman" w:hAnsi="Times New Roman" w:eastAsia="方正仿宋_GBK" w:cs="Times New Roman"/>
          <w:sz w:val="32"/>
        </w:rPr>
        <w:t>2026年政府采购经费预算0万元。</w:t>
      </w:r>
    </w:p>
    <w:p w14:paraId="73DF962F">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（三）</w:t>
      </w:r>
      <w:r>
        <w:rPr>
          <w:rFonts w:ascii="Times New Roman" w:hAnsi="Times New Roman" w:eastAsia="方正仿宋_GBK" w:cs="Times New Roman"/>
          <w:b/>
          <w:sz w:val="32"/>
        </w:rPr>
        <w:t>绩效目标设置情况。</w:t>
      </w:r>
      <w:r>
        <w:rPr>
          <w:rFonts w:ascii="Times New Roman" w:hAnsi="Times New Roman" w:eastAsia="方正仿宋_GBK" w:cs="Times New Roman"/>
          <w:color w:val="000000"/>
          <w:sz w:val="32"/>
        </w:rPr>
        <w:t>2026年项目支出均实行了绩效目标管理，涉及一般公共预算当年财政拨款</w:t>
      </w:r>
      <w:r>
        <w:rPr>
          <w:rFonts w:hint="eastAsia" w:ascii="Times New Roman" w:hAnsi="Times New Roman" w:eastAsia="方正仿宋_GBK" w:cs="Times New Roman"/>
          <w:color w:val="000000"/>
          <w:sz w:val="32"/>
        </w:rPr>
        <w:t>19.8</w:t>
      </w:r>
      <w:r>
        <w:rPr>
          <w:rFonts w:ascii="Times New Roman" w:hAnsi="Times New Roman" w:eastAsia="方正仿宋_GBK" w:cs="Times New Roman"/>
          <w:color w:val="000000"/>
          <w:sz w:val="32"/>
        </w:rPr>
        <w:t>万元。</w:t>
      </w:r>
    </w:p>
    <w:p w14:paraId="42B11D23">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（四）</w:t>
      </w:r>
      <w:r>
        <w:rPr>
          <w:rFonts w:ascii="Times New Roman" w:hAnsi="Times New Roman" w:eastAsia="方正仿宋_GBK" w:cs="Times New Roman"/>
          <w:b/>
          <w:color w:val="000000"/>
          <w:sz w:val="32"/>
        </w:rPr>
        <w:t>国有资产占有使用情况。</w:t>
      </w:r>
      <w:r>
        <w:rPr>
          <w:rFonts w:ascii="Times New Roman" w:hAnsi="Times New Roman" w:eastAsia="方正仿宋_GBK" w:cs="Times New Roman"/>
          <w:color w:val="000000"/>
          <w:sz w:val="32"/>
        </w:rPr>
        <w:t>截至2025年12月，</w:t>
      </w:r>
      <w:r>
        <w:rPr>
          <w:rFonts w:hint="eastAsia" w:ascii="Times New Roman" w:hAnsi="Times New Roman" w:eastAsia="方正仿宋_GBK" w:cs="Times New Roman"/>
          <w:color w:val="000000"/>
          <w:sz w:val="32"/>
        </w:rPr>
        <w:t>我</w:t>
      </w:r>
      <w:r>
        <w:rPr>
          <w:rFonts w:ascii="Times New Roman" w:hAnsi="Times New Roman" w:eastAsia="方正仿宋_GBK" w:cs="Times New Roman"/>
          <w:color w:val="000000"/>
          <w:sz w:val="32"/>
        </w:rPr>
        <w:t>单位</w:t>
      </w:r>
      <w:r>
        <w:rPr>
          <w:rFonts w:hint="eastAsia" w:ascii="Times New Roman" w:hAnsi="Times New Roman" w:eastAsia="方正仿宋_GBK" w:cs="Times New Roman"/>
          <w:color w:val="000000"/>
          <w:sz w:val="32"/>
        </w:rPr>
        <w:t>无</w:t>
      </w:r>
      <w:r>
        <w:rPr>
          <w:rFonts w:ascii="Times New Roman" w:hAnsi="Times New Roman" w:eastAsia="方正仿宋_GBK" w:cs="Times New Roman"/>
          <w:color w:val="000000"/>
          <w:sz w:val="32"/>
        </w:rPr>
        <w:t>车辆。</w:t>
      </w:r>
    </w:p>
    <w:p w14:paraId="40E05E0E">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14:paraId="535A3830">
      <w:pPr>
        <w:pStyle w:val="26"/>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14:paraId="4408DC3B">
      <w:pPr>
        <w:pStyle w:val="26"/>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（二）其他收入：</w:t>
      </w:r>
      <w:r>
        <w:rPr>
          <w:rFonts w:ascii="Times New Roman" w:hAnsi="Times New Roman" w:eastAsia="方正仿宋_GBK" w:cs="Times New Roman"/>
          <w:sz w:val="32"/>
          <w:szCs w:val="32"/>
        </w:rPr>
        <w:t>指单位取得的除“财政拨款收入”、“事业收入”、“经营收入”等以外的收入。</w:t>
      </w:r>
    </w:p>
    <w:p w14:paraId="3253368E">
      <w:pPr>
        <w:pStyle w:val="26"/>
        <w:tabs>
          <w:tab w:val="center" w:pos="4153"/>
          <w:tab w:val="left" w:pos="7275"/>
        </w:tabs>
        <w:spacing w:line="600" w:lineRule="exact"/>
        <w:ind w:firstLine="640"/>
        <w:rPr>
          <w:rFonts w:ascii="Times New Roman" w:hAnsi="Times New Roman" w:eastAsia="方正仿宋_GBK" w:cs="Times New Roman"/>
          <w:sz w:val="32"/>
          <w:szCs w:val="32"/>
        </w:rPr>
      </w:pPr>
      <w:r>
        <w:rPr>
          <w:rFonts w:ascii="Times New Roman" w:hAnsi="Times New Roman" w:eastAsia="方正楷体_GBK" w:cs="Times New Roman"/>
          <w:sz w:val="32"/>
          <w:szCs w:val="32"/>
        </w:rPr>
        <w:t>（三）基本支出：</w:t>
      </w:r>
      <w:r>
        <w:rPr>
          <w:rFonts w:ascii="Times New Roman" w:hAnsi="Times New Roman" w:eastAsia="方正仿宋_GBK" w:cs="Times New Roman"/>
          <w:sz w:val="32"/>
          <w:szCs w:val="32"/>
        </w:rPr>
        <w:t>指为保障机构正常运转、完成日常工作任务而发生的人员经费和公用经费。</w:t>
      </w:r>
    </w:p>
    <w:p w14:paraId="74EC4CDB">
      <w:pPr>
        <w:pStyle w:val="26"/>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（四）项目支出：</w:t>
      </w:r>
      <w:r>
        <w:rPr>
          <w:rFonts w:ascii="Times New Roman" w:hAnsi="Times New Roman" w:eastAsia="方正仿宋_GBK" w:cs="Times New Roman"/>
          <w:sz w:val="32"/>
          <w:szCs w:val="32"/>
        </w:rPr>
        <w:t>指在基本支出之外为完成特定行政任务和事业发展目标所发生的支出。</w:t>
      </w:r>
    </w:p>
    <w:p w14:paraId="631FC107">
      <w:pPr>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（五）“三公”经费：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6DCF818">
      <w:pPr>
        <w:spacing w:line="600" w:lineRule="exact"/>
        <w:rPr>
          <w:rFonts w:ascii="Times New Roman" w:hAnsi="Times New Roman" w:eastAsia="方正小标宋_GBK" w:cs="Times New Roman"/>
          <w:sz w:val="44"/>
          <w:szCs w:val="44"/>
        </w:rPr>
      </w:pPr>
    </w:p>
    <w:p w14:paraId="4FD6C451">
      <w:pPr>
        <w:spacing w:line="600" w:lineRule="exact"/>
        <w:ind w:firstLine="880" w:firstLineChars="200"/>
        <w:rPr>
          <w:rFonts w:ascii="Times New Roman" w:hAnsi="Times New Roman" w:eastAsia="方正小标宋_GBK" w:cs="Times New Roman"/>
          <w:sz w:val="44"/>
          <w:szCs w:val="44"/>
        </w:rPr>
      </w:pPr>
    </w:p>
    <w:p w14:paraId="18C912FF">
      <w:pPr>
        <w:spacing w:line="600" w:lineRule="exact"/>
        <w:ind w:firstLine="880" w:firstLineChars="20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第二部分：2026年部门预算公开报表</w:t>
      </w:r>
    </w:p>
    <w:p w14:paraId="6C3C705C">
      <w:pPr>
        <w:spacing w:line="594" w:lineRule="exact"/>
        <w:ind w:firstLine="640" w:firstLineChars="200"/>
        <w:rPr>
          <w:rFonts w:hint="eastAsia" w:ascii="Times New Roman" w:hAnsi="Times New Roman" w:eastAsia="方正仿宋_GBK" w:cs="Times New Roman"/>
          <w:sz w:val="32"/>
          <w:szCs w:val="32"/>
        </w:rPr>
      </w:pPr>
    </w:p>
    <w:p w14:paraId="597F511B">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2026年部门预算公开报表（详见附表重庆市开州区九龙山中心幼儿园2026年部门预算公开报表）</w:t>
      </w:r>
    </w:p>
    <w:p w14:paraId="553C8E94">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部门预算公开联系人：</w:t>
      </w:r>
      <w:r>
        <w:rPr>
          <w:rFonts w:hint="eastAsia" w:ascii="Times New Roman" w:hAnsi="Times New Roman" w:eastAsia="方正仿宋_GBK" w:cs="Times New Roman"/>
          <w:sz w:val="32"/>
          <w:szCs w:val="32"/>
        </w:rPr>
        <w:t xml:space="preserve">郝重疆   </w:t>
      </w:r>
      <w:r>
        <w:rPr>
          <w:rFonts w:ascii="Times New Roman" w:hAnsi="Times New Roman" w:eastAsia="方正仿宋_GBK" w:cs="Times New Roman"/>
          <w:sz w:val="32"/>
          <w:szCs w:val="32"/>
        </w:rPr>
        <w:t>联系方式：023-</w:t>
      </w:r>
      <w:r>
        <w:rPr>
          <w:rFonts w:hint="eastAsia" w:ascii="Times New Roman" w:hAnsi="Times New Roman" w:eastAsia="方正仿宋_GBK" w:cs="Times New Roman"/>
          <w:sz w:val="32"/>
          <w:szCs w:val="32"/>
        </w:rPr>
        <w:t>52247313</w:t>
      </w:r>
    </w:p>
    <w:p w14:paraId="28D289F9">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w:t>
      </w:r>
    </w:p>
    <w:p w14:paraId="009A4384">
      <w:pPr>
        <w:spacing w:line="594" w:lineRule="exact"/>
        <w:ind w:firstLine="640" w:firstLineChars="200"/>
        <w:rPr>
          <w:rFonts w:ascii="Times New Roman" w:hAnsi="Times New Roman" w:eastAsia="方正仿宋_GBK" w:cs="Times New Roman"/>
          <w:sz w:val="32"/>
          <w:szCs w:val="32"/>
        </w:rPr>
      </w:pPr>
      <w:bookmarkStart w:id="0" w:name="_GoBack"/>
      <w:bookmarkEnd w:id="0"/>
    </w:p>
    <w:p w14:paraId="00D4B5F2">
      <w:pPr>
        <w:spacing w:line="594" w:lineRule="exact"/>
        <w:ind w:firstLine="640" w:firstLineChars="200"/>
        <w:rPr>
          <w:rFonts w:ascii="Times New Roman" w:hAnsi="Times New Roman" w:eastAsia="方正仿宋_GBK" w:cs="Times New Roman"/>
          <w:sz w:val="32"/>
          <w:szCs w:val="32"/>
        </w:rPr>
      </w:pPr>
    </w:p>
    <w:p w14:paraId="083EEA4F">
      <w:pPr>
        <w:spacing w:line="594" w:lineRule="exact"/>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重庆市开州区九龙山中心幼儿园</w:t>
      </w:r>
    </w:p>
    <w:p w14:paraId="75F9F4AB">
      <w:pPr>
        <w:spacing w:line="594" w:lineRule="exact"/>
        <w:ind w:firstLine="640" w:firstLineChars="20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　 2026年3月1</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日</w:t>
      </w:r>
    </w:p>
    <w:p w14:paraId="4B2CD09D">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ab/>
      </w:r>
    </w:p>
    <w:p w14:paraId="49A4A73C">
      <w:pPr>
        <w:spacing w:line="594" w:lineRule="exact"/>
        <w:rPr>
          <w:rFonts w:ascii="Times New Roman" w:hAnsi="Times New Roman" w:eastAsia="方正仿宋_GBK" w:cs="Times New Roman"/>
          <w:sz w:val="32"/>
          <w:szCs w:val="32"/>
        </w:rPr>
      </w:pPr>
    </w:p>
    <w:p w14:paraId="6F66FEF4">
      <w:pPr>
        <w:spacing w:line="594" w:lineRule="exact"/>
        <w:ind w:firstLine="640" w:firstLineChars="200"/>
        <w:rPr>
          <w:rFonts w:hint="eastAsia" w:ascii="Times New Roman" w:hAnsi="Times New Roman" w:eastAsia="方正仿宋_GBK" w:cs="Times New Roman"/>
          <w:sz w:val="32"/>
          <w:szCs w:val="32"/>
        </w:rPr>
      </w:pPr>
    </w:p>
    <w:p w14:paraId="2D9B9C26">
      <w:pPr>
        <w:spacing w:line="594" w:lineRule="exact"/>
        <w:ind w:firstLine="640" w:firstLineChars="200"/>
        <w:rPr>
          <w:rFonts w:hint="eastAsia" w:ascii="Times New Roman" w:hAnsi="Times New Roman" w:eastAsia="方正仿宋_GBK" w:cs="Times New Roman"/>
          <w:sz w:val="32"/>
          <w:szCs w:val="32"/>
        </w:rPr>
      </w:pPr>
    </w:p>
    <w:p w14:paraId="25F9BE78">
      <w:pPr>
        <w:spacing w:line="594" w:lineRule="exact"/>
        <w:ind w:firstLine="640" w:firstLineChars="200"/>
        <w:rPr>
          <w:rFonts w:hint="eastAsia" w:ascii="Times New Roman" w:hAnsi="Times New Roman" w:eastAsia="方正仿宋_GBK" w:cs="Times New Roman"/>
          <w:sz w:val="32"/>
          <w:szCs w:val="32"/>
        </w:rPr>
      </w:pPr>
    </w:p>
    <w:p w14:paraId="02FBFFE4">
      <w:pPr>
        <w:spacing w:line="594" w:lineRule="exact"/>
        <w:ind w:firstLine="640" w:firstLineChars="200"/>
        <w:rPr>
          <w:rFonts w:hint="eastAsia" w:ascii="Times New Roman" w:hAnsi="Times New Roman" w:eastAsia="方正仿宋_GBK" w:cs="Times New Roman"/>
          <w:sz w:val="32"/>
          <w:szCs w:val="32"/>
        </w:rPr>
      </w:pPr>
    </w:p>
    <w:p w14:paraId="3D2BCC6F">
      <w:pPr>
        <w:spacing w:line="594" w:lineRule="exact"/>
        <w:ind w:firstLine="640" w:firstLineChars="200"/>
        <w:rPr>
          <w:rFonts w:hint="eastAsia" w:ascii="Times New Roman" w:hAnsi="Times New Roman" w:eastAsia="方正仿宋_GBK" w:cs="Times New Roman"/>
          <w:sz w:val="32"/>
          <w:szCs w:val="32"/>
        </w:rPr>
      </w:pPr>
    </w:p>
    <w:p w14:paraId="78B05F4B">
      <w:pPr>
        <w:spacing w:line="594" w:lineRule="exact"/>
        <w:ind w:firstLine="640" w:firstLineChars="200"/>
        <w:rPr>
          <w:rFonts w:hint="eastAsia" w:ascii="Times New Roman" w:hAnsi="Times New Roman" w:eastAsia="方正仿宋_GBK" w:cs="Times New Roman"/>
          <w:sz w:val="32"/>
          <w:szCs w:val="32"/>
        </w:rPr>
      </w:pPr>
    </w:p>
    <w:p w14:paraId="78826B7E">
      <w:pPr>
        <w:spacing w:line="594" w:lineRule="exact"/>
        <w:ind w:firstLine="640" w:firstLineChars="200"/>
        <w:rPr>
          <w:rFonts w:hint="eastAsia" w:ascii="Times New Roman" w:hAnsi="Times New Roman" w:eastAsia="方正仿宋_GBK" w:cs="Times New Roman"/>
          <w:sz w:val="32"/>
          <w:szCs w:val="32"/>
        </w:rPr>
      </w:pPr>
    </w:p>
    <w:p w14:paraId="1F4110DA">
      <w:pPr>
        <w:spacing w:line="594" w:lineRule="exact"/>
        <w:ind w:firstLine="640" w:firstLineChars="200"/>
        <w:rPr>
          <w:rFonts w:ascii="Times New Roman" w:hAnsi="Times New Roman" w:eastAsia="方正仿宋_GBK" w:cs="Times New Roman"/>
          <w:sz w:val="32"/>
          <w:szCs w:val="32"/>
        </w:rPr>
      </w:pPr>
    </w:p>
    <w:p w14:paraId="24380B9F">
      <w:pPr>
        <w:overflowPunct w:val="0"/>
        <w:spacing w:line="480" w:lineRule="exact"/>
        <w:ind w:firstLine="210" w:firstLineChars="100"/>
        <w:rPr>
          <w:rFonts w:ascii="Times New Roman" w:hAnsi="Times New Roman" w:eastAsia="方正仿宋_GBK" w:cs="Times New Roman"/>
          <w:sz w:val="32"/>
          <w:szCs w:val="32"/>
        </w:rPr>
      </w:pPr>
      <w:r>
        <w:rPr>
          <w:rFonts w:ascii="Times New Roman" w:hAnsi="Times New Roman" w:cs="Times New Roman"/>
        </w:rPr>
        <w:pict>
          <v:line id="直接连接符 1" o:spid="_x0000_s1026" o:spt="20" style="position:absolute;left:0pt;margin-top:1.05pt;height:0pt;width:434.25pt;mso-position-horizontal:center;mso-position-horizontal-relative:margin;z-index:251660288;mso-width-relative:margin;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">
            <v:path arrowok="t"/>
            <v:fill focussize="0,0"/>
            <v:stroke/>
            <v:imagedata o:title=""/>
            <o:lock v:ext="edit"/>
          </v:line>
        </w:pict>
      </w:r>
      <w:r>
        <w:rPr>
          <w:rFonts w:ascii="Times New Roman" w:hAnsi="Times New Roman" w:cs="Times New Roman"/>
        </w:rPr>
        <w:pict>
          <v:line id="直接连接符 2" o:spid="_x0000_s1027" o:spt="20" style="position:absolute;left:0pt;margin-left:3.7pt;margin-top:26.65pt;height:0pt;width:438pt;mso-position-horizontal-relative:margin;z-index:251659264;mso-width-relative:margin;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">
            <v:path arrowok="t"/>
            <v:fill focussize="0,0"/>
            <v:stroke/>
            <v:imagedata o:title=""/>
            <o:lock v:ext="edit"/>
          </v:line>
        </w:pict>
      </w:r>
      <w:r>
        <w:rPr>
          <w:rFonts w:ascii="Times New Roman" w:hAnsi="Times New Roman" w:eastAsia="方正仿宋_GBK" w:cs="Times New Roman"/>
          <w:sz w:val="32"/>
          <w:szCs w:val="32"/>
        </w:rPr>
        <w:t>重庆市开州区九龙山中心幼儿园</w:t>
      </w:r>
      <w:r>
        <w:rPr>
          <w:rFonts w:ascii="Times New Roman" w:hAnsi="Times New Roman" w:eastAsia="方正仿宋_GBK" w:cs="Times New Roman"/>
          <w:kern w:val="0"/>
          <w:sz w:val="28"/>
          <w:szCs w:val="28"/>
        </w:rPr>
        <w:t>办公室　2026年3月1</w:t>
      </w:r>
      <w:r>
        <w:rPr>
          <w:rFonts w:hint="eastAsia" w:ascii="Times New Roman" w:hAnsi="Times New Roman" w:eastAsia="方正仿宋_GBK" w:cs="Times New Roman"/>
          <w:kern w:val="0"/>
          <w:sz w:val="28"/>
          <w:szCs w:val="28"/>
          <w:lang w:val="en-US" w:eastAsia="zh-CN"/>
        </w:rPr>
        <w:t>1</w:t>
      </w:r>
      <w:r>
        <w:rPr>
          <w:rFonts w:ascii="Times New Roman" w:hAnsi="Times New Roman" w:eastAsia="方正仿宋_GBK" w:cs="Times New Roman"/>
          <w:kern w:val="0"/>
          <w:sz w:val="28"/>
          <w:szCs w:val="28"/>
        </w:rPr>
        <w:t>日印发</w:t>
      </w:r>
    </w:p>
    <w:sectPr>
      <w:headerReference r:id="rId3" w:type="default"/>
      <w:footerReference r:id="rId4" w:type="default"/>
      <w:footerReference r:id="rId5" w:type="even"/>
      <w:pgSz w:w="11906" w:h="16838"/>
      <w:pgMar w:top="2098" w:right="1531" w:bottom="1985"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9C5B9">
    <w:pPr>
      <w:pStyle w:val="4"/>
      <w:wordWrap w:val="0"/>
      <w:ind w:right="128" w:rightChars="61"/>
      <w:jc w:val="right"/>
      <w:rPr>
        <w:rFonts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Style w:val="8"/>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9D26B">
    <w:pPr>
      <w:pStyle w:val="4"/>
      <w:tabs>
        <w:tab w:val="left" w:pos="426"/>
      </w:tabs>
      <w:wordWrap w:val="0"/>
      <w:ind w:left="279" w:leftChars="133" w:right="560"/>
      <w:rPr>
        <w:rFonts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Style w:val="8"/>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4AA16">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VerticalSpacing w:val="16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77375"/>
    <w:rsid w:val="002569E5"/>
    <w:rsid w:val="002904FC"/>
    <w:rsid w:val="002A44EB"/>
    <w:rsid w:val="002D2BD7"/>
    <w:rsid w:val="002F57B0"/>
    <w:rsid w:val="00361EBC"/>
    <w:rsid w:val="0038265D"/>
    <w:rsid w:val="00384B03"/>
    <w:rsid w:val="003C2B89"/>
    <w:rsid w:val="00421216"/>
    <w:rsid w:val="004D3AA3"/>
    <w:rsid w:val="0054637D"/>
    <w:rsid w:val="005D03F1"/>
    <w:rsid w:val="00601019"/>
    <w:rsid w:val="0068795D"/>
    <w:rsid w:val="006C375C"/>
    <w:rsid w:val="00820BC0"/>
    <w:rsid w:val="008860FE"/>
    <w:rsid w:val="008B6722"/>
    <w:rsid w:val="009643FF"/>
    <w:rsid w:val="00977375"/>
    <w:rsid w:val="00A04073"/>
    <w:rsid w:val="00D82DBE"/>
    <w:rsid w:val="00F37CC7"/>
    <w:rsid w:val="00F85A2F"/>
    <w:rsid w:val="06EF3697"/>
    <w:rsid w:val="14D02450"/>
    <w:rsid w:val="18215731"/>
    <w:rsid w:val="18470C73"/>
    <w:rsid w:val="20BB050A"/>
    <w:rsid w:val="2165030C"/>
    <w:rsid w:val="25A96130"/>
    <w:rsid w:val="2E156CED"/>
    <w:rsid w:val="2FA986A4"/>
    <w:rsid w:val="35B8711C"/>
    <w:rsid w:val="382F6B8A"/>
    <w:rsid w:val="3EEA231B"/>
    <w:rsid w:val="40E304B3"/>
    <w:rsid w:val="43F9087A"/>
    <w:rsid w:val="4D51623B"/>
    <w:rsid w:val="5947612B"/>
    <w:rsid w:val="61704203"/>
    <w:rsid w:val="63D20F4B"/>
    <w:rsid w:val="65AC124F"/>
    <w:rsid w:val="670C1AB4"/>
    <w:rsid w:val="67BF2512"/>
    <w:rsid w:val="6E752B8D"/>
    <w:rsid w:val="74C94B5B"/>
    <w:rsid w:val="7A280C99"/>
    <w:rsid w:val="7FDF7D5D"/>
    <w:rsid w:val="7FFF87B8"/>
    <w:rsid w:val="C3C2636B"/>
    <w:rsid w:val="C67BDFFE"/>
    <w:rsid w:val="EDFA4F20"/>
    <w:rsid w:val="EF7DA69E"/>
    <w:rsid w:val="FAAF5353"/>
    <w:rsid w:val="FBBF4C8C"/>
    <w:rsid w:val="FFFFC8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Balloon Text"/>
    <w:basedOn w:val="1"/>
    <w:link w:val="2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semiHidden/>
    <w:qFormat/>
    <w:uiPriority w:val="0"/>
  </w:style>
  <w:style w:type="character" w:customStyle="1" w:styleId="9">
    <w:name w:val="font21"/>
    <w:basedOn w:val="7"/>
    <w:qFormat/>
    <w:uiPriority w:val="0"/>
    <w:rPr>
      <w:rFonts w:hint="eastAsia" w:ascii="方正黑体_GBK" w:hAnsi="方正黑体_GBK" w:eastAsia="方正黑体_GBK" w:cs="方正黑体_GBK"/>
      <w:color w:val="000000"/>
      <w:sz w:val="24"/>
      <w:szCs w:val="24"/>
      <w:u w:val="none"/>
    </w:rPr>
  </w:style>
  <w:style w:type="character" w:customStyle="1" w:styleId="10">
    <w:name w:val="font31"/>
    <w:basedOn w:val="7"/>
    <w:qFormat/>
    <w:uiPriority w:val="0"/>
    <w:rPr>
      <w:rFonts w:hint="default" w:ascii="Times New Roman" w:hAnsi="Times New Roman" w:cs="Times New Roman"/>
      <w:color w:val="000000"/>
      <w:sz w:val="24"/>
      <w:szCs w:val="24"/>
      <w:u w:val="none"/>
    </w:rPr>
  </w:style>
  <w:style w:type="character" w:customStyle="1" w:styleId="11">
    <w:name w:val="font41"/>
    <w:basedOn w:val="7"/>
    <w:qFormat/>
    <w:uiPriority w:val="0"/>
    <w:rPr>
      <w:rFonts w:ascii="方正仿宋_GBK" w:hAnsi="方正仿宋_GBK" w:eastAsia="方正仿宋_GBK" w:cs="方正仿宋_GBK"/>
      <w:color w:val="000000"/>
      <w:sz w:val="24"/>
      <w:szCs w:val="24"/>
      <w:u w:val="none"/>
    </w:rPr>
  </w:style>
  <w:style w:type="character" w:customStyle="1" w:styleId="12">
    <w:name w:val="font121"/>
    <w:basedOn w:val="7"/>
    <w:qFormat/>
    <w:uiPriority w:val="0"/>
    <w:rPr>
      <w:rFonts w:hint="eastAsia" w:ascii="宋体" w:hAnsi="宋体" w:eastAsia="宋体" w:cs="宋体"/>
      <w:color w:val="000000"/>
      <w:sz w:val="22"/>
      <w:szCs w:val="22"/>
      <w:u w:val="none"/>
    </w:rPr>
  </w:style>
  <w:style w:type="character" w:customStyle="1" w:styleId="13">
    <w:name w:val="font91"/>
    <w:basedOn w:val="7"/>
    <w:qFormat/>
    <w:uiPriority w:val="0"/>
    <w:rPr>
      <w:rFonts w:ascii="方正黑体_GBK" w:hAnsi="方正黑体_GBK" w:eastAsia="方正黑体_GBK" w:cs="方正黑体_GBK"/>
      <w:color w:val="000000"/>
      <w:sz w:val="22"/>
      <w:szCs w:val="22"/>
      <w:u w:val="none"/>
    </w:rPr>
  </w:style>
  <w:style w:type="character" w:customStyle="1" w:styleId="14">
    <w:name w:val="font101"/>
    <w:basedOn w:val="7"/>
    <w:qFormat/>
    <w:uiPriority w:val="0"/>
    <w:rPr>
      <w:rFonts w:ascii="方正小标宋_GBK" w:hAnsi="方正小标宋_GBK" w:eastAsia="方正小标宋_GBK" w:cs="方正小标宋_GBK"/>
      <w:color w:val="000000"/>
      <w:sz w:val="40"/>
      <w:szCs w:val="40"/>
      <w:u w:val="none"/>
    </w:rPr>
  </w:style>
  <w:style w:type="character" w:customStyle="1" w:styleId="15">
    <w:name w:val="font112"/>
    <w:basedOn w:val="7"/>
    <w:qFormat/>
    <w:uiPriority w:val="0"/>
    <w:rPr>
      <w:rFonts w:hint="eastAsia" w:ascii="宋体" w:hAnsi="宋体" w:eastAsia="宋体" w:cs="宋体"/>
      <w:b/>
      <w:bCs/>
      <w:color w:val="000000"/>
      <w:sz w:val="22"/>
      <w:szCs w:val="22"/>
      <w:u w:val="none"/>
    </w:rPr>
  </w:style>
  <w:style w:type="character" w:customStyle="1" w:styleId="16">
    <w:name w:val="font61"/>
    <w:basedOn w:val="7"/>
    <w:qFormat/>
    <w:uiPriority w:val="0"/>
    <w:rPr>
      <w:rFonts w:ascii="方正黑体_GBK" w:hAnsi="方正黑体_GBK" w:eastAsia="方正黑体_GBK" w:cs="方正黑体_GBK"/>
      <w:color w:val="000000"/>
      <w:sz w:val="22"/>
      <w:szCs w:val="22"/>
      <w:u w:val="none"/>
    </w:rPr>
  </w:style>
  <w:style w:type="character" w:customStyle="1" w:styleId="17">
    <w:name w:val="font71"/>
    <w:basedOn w:val="7"/>
    <w:qFormat/>
    <w:uiPriority w:val="0"/>
    <w:rPr>
      <w:rFonts w:ascii="方正小标宋_GBK" w:hAnsi="方正小标宋_GBK" w:eastAsia="方正小标宋_GBK" w:cs="方正小标宋_GBK"/>
      <w:color w:val="000000"/>
      <w:sz w:val="40"/>
      <w:szCs w:val="40"/>
      <w:u w:val="none"/>
    </w:rPr>
  </w:style>
  <w:style w:type="character" w:customStyle="1" w:styleId="18">
    <w:name w:val="font81"/>
    <w:basedOn w:val="7"/>
    <w:qFormat/>
    <w:uiPriority w:val="0"/>
    <w:rPr>
      <w:rFonts w:ascii="方正楷体_GBK" w:hAnsi="方正楷体_GBK" w:eastAsia="方正楷体_GBK" w:cs="方正楷体_GBK"/>
      <w:color w:val="000000"/>
      <w:sz w:val="22"/>
      <w:szCs w:val="22"/>
      <w:u w:val="none"/>
    </w:rPr>
  </w:style>
  <w:style w:type="character" w:customStyle="1" w:styleId="19">
    <w:name w:val="font51"/>
    <w:basedOn w:val="7"/>
    <w:qFormat/>
    <w:uiPriority w:val="0"/>
    <w:rPr>
      <w:rFonts w:hint="default" w:ascii="Times New Roman" w:hAnsi="Times New Roman" w:cs="Times New Roman"/>
      <w:b/>
      <w:bCs/>
      <w:color w:val="000000"/>
      <w:sz w:val="22"/>
      <w:szCs w:val="22"/>
      <w:u w:val="none"/>
    </w:rPr>
  </w:style>
  <w:style w:type="character" w:customStyle="1" w:styleId="20">
    <w:name w:val="font11"/>
    <w:basedOn w:val="7"/>
    <w:qFormat/>
    <w:uiPriority w:val="0"/>
    <w:rPr>
      <w:rFonts w:hint="eastAsia" w:ascii="方正黑体_GBK" w:hAnsi="方正黑体_GBK" w:eastAsia="方正黑体_GBK" w:cs="方正黑体_GBK"/>
      <w:color w:val="000000"/>
      <w:sz w:val="22"/>
      <w:szCs w:val="22"/>
      <w:u w:val="none"/>
    </w:rPr>
  </w:style>
  <w:style w:type="character" w:customStyle="1" w:styleId="21">
    <w:name w:val="font111"/>
    <w:basedOn w:val="7"/>
    <w:qFormat/>
    <w:uiPriority w:val="0"/>
    <w:rPr>
      <w:rFonts w:ascii="方正黑体_GBK" w:hAnsi="方正黑体_GBK" w:eastAsia="方正黑体_GBK" w:cs="方正黑体_GBK"/>
      <w:color w:val="000000"/>
      <w:sz w:val="22"/>
      <w:szCs w:val="22"/>
      <w:u w:val="none"/>
    </w:rPr>
  </w:style>
  <w:style w:type="character" w:customStyle="1" w:styleId="22">
    <w:name w:val="font12"/>
    <w:basedOn w:val="7"/>
    <w:qFormat/>
    <w:uiPriority w:val="0"/>
    <w:rPr>
      <w:rFonts w:hint="default" w:ascii="Times New Roman" w:hAnsi="Times New Roman" w:cs="Times New Roman"/>
      <w:color w:val="000000"/>
      <w:sz w:val="22"/>
      <w:szCs w:val="22"/>
      <w:u w:val="none"/>
    </w:rPr>
  </w:style>
  <w:style w:type="character" w:customStyle="1" w:styleId="23">
    <w:name w:val="font122"/>
    <w:basedOn w:val="7"/>
    <w:qFormat/>
    <w:uiPriority w:val="0"/>
    <w:rPr>
      <w:rFonts w:hint="eastAsia" w:ascii="宋体" w:hAnsi="宋体" w:eastAsia="宋体" w:cs="宋体"/>
      <w:b/>
      <w:bCs/>
      <w:color w:val="000000"/>
      <w:sz w:val="22"/>
      <w:szCs w:val="22"/>
      <w:u w:val="none"/>
    </w:rPr>
  </w:style>
  <w:style w:type="character" w:customStyle="1" w:styleId="24">
    <w:name w:val="font131"/>
    <w:basedOn w:val="7"/>
    <w:qFormat/>
    <w:uiPriority w:val="0"/>
    <w:rPr>
      <w:rFonts w:hint="eastAsia" w:ascii="宋体" w:hAnsi="宋体" w:eastAsia="宋体" w:cs="宋体"/>
      <w:b/>
      <w:bCs/>
      <w:color w:val="000000"/>
      <w:sz w:val="24"/>
      <w:szCs w:val="24"/>
      <w:u w:val="none"/>
    </w:rPr>
  </w:style>
  <w:style w:type="character" w:customStyle="1" w:styleId="25">
    <w:name w:val="font141"/>
    <w:basedOn w:val="7"/>
    <w:qFormat/>
    <w:uiPriority w:val="0"/>
    <w:rPr>
      <w:rFonts w:ascii="微软雅黑" w:hAnsi="微软雅黑" w:eastAsia="微软雅黑" w:cs="微软雅黑"/>
      <w:b/>
      <w:bCs/>
      <w:color w:val="000000"/>
      <w:sz w:val="28"/>
      <w:szCs w:val="28"/>
      <w:u w:val="none"/>
    </w:rPr>
  </w:style>
  <w:style w:type="paragraph" w:styleId="26">
    <w:name w:val="List Paragraph"/>
    <w:basedOn w:val="1"/>
    <w:qFormat/>
    <w:uiPriority w:val="34"/>
    <w:pPr>
      <w:ind w:firstLine="420" w:firstLineChars="200"/>
    </w:pPr>
    <w:rPr>
      <w:rFonts w:ascii="Calibri" w:hAnsi="Calibri"/>
      <w:szCs w:val="22"/>
    </w:rPr>
  </w:style>
  <w:style w:type="character" w:customStyle="1" w:styleId="27">
    <w:name w:val="font01"/>
    <w:basedOn w:val="7"/>
    <w:qFormat/>
    <w:uiPriority w:val="0"/>
    <w:rPr>
      <w:rFonts w:hint="eastAsia" w:ascii="宋体" w:hAnsi="宋体" w:eastAsia="宋体" w:cs="宋体"/>
      <w:color w:val="000000"/>
      <w:sz w:val="22"/>
      <w:szCs w:val="22"/>
      <w:u w:val="none"/>
    </w:rPr>
  </w:style>
  <w:style w:type="paragraph" w:customStyle="1" w:styleId="28">
    <w:name w:val="_Style 26"/>
    <w:basedOn w:val="1"/>
    <w:next w:val="26"/>
    <w:qFormat/>
    <w:uiPriority w:val="34"/>
    <w:pPr>
      <w:ind w:firstLine="420" w:firstLineChars="200"/>
    </w:pPr>
    <w:rPr>
      <w:rFonts w:ascii="Calibri" w:hAnsi="Calibri" w:eastAsia="宋体" w:cs="Times New Roman"/>
      <w:szCs w:val="22"/>
    </w:rPr>
  </w:style>
  <w:style w:type="character" w:customStyle="1" w:styleId="29">
    <w:name w:val="批注框文本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1945</Words>
  <Characters>2161</Characters>
  <Lines>16</Lines>
  <Paragraphs>4</Paragraphs>
  <TotalTime>5</TotalTime>
  <ScaleCrop>false</ScaleCrop>
  <LinksUpToDate>false</LinksUpToDate>
  <CharactersWithSpaces>2181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2026-02-05T07:08:00Z</dcterms:created>
  <dc:creator>lenovo</dc:creator>
  <cp:lastModifiedBy>伍崇兴</cp:lastModifiedBy>
  <cp:lastPrinted>2026-01-28T15:59:00Z</cp:lastPrinted>
  <dcterms:modified xsi:type="dcterms:W3CDTF">2026-03-12T05:55:49Z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44EBD8EDD8640457B1DF7969AD70809F_43</vt:lpwstr>
  </property>
  <property fmtid="{D5CDD505-2E9C-101B-9397-08002B2CF9AE}" pid="4" name="KSOTemplateDocerSaveRecord">
    <vt:lpwstr>eyJoZGlkIjoiN2I3NjVkZWVjYWQ0Y2NjNTM1YzU3YjRjMWY5MDRjNDIiLCJ1c2VySWQiOiIxNjc3ODQxMDQxIn0=</vt:lpwstr>
  </property>
</Properties>
</file>