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520B1">
      <w:pPr>
        <w:tabs>
          <w:tab w:val="left" w:pos="360"/>
          <w:tab w:val="left" w:pos="8460"/>
        </w:tabs>
        <w:overflowPunct w:val="0"/>
        <w:spacing w:line="1200" w:lineRule="exact"/>
        <w:jc w:val="center"/>
        <w:rPr>
          <w:rFonts w:eastAsia="方正小标宋简体"/>
          <w:spacing w:val="-11"/>
          <w:w w:val="80"/>
          <w:sz w:val="16"/>
          <w:szCs w:val="20"/>
        </w:rPr>
      </w:pPr>
      <w:r>
        <w:rPr>
          <w:rFonts w:eastAsia="方正小标宋简体"/>
          <w:color w:val="FF0000"/>
          <w:spacing w:val="-11"/>
          <w:w w:val="80"/>
          <w:sz w:val="72"/>
          <w:szCs w:val="72"/>
        </w:rPr>
        <w:t>重庆市开州区</w:t>
      </w:r>
      <w:r>
        <w:rPr>
          <w:rFonts w:hint="eastAsia" w:eastAsia="方正小标宋简体"/>
          <w:color w:val="FF0000"/>
          <w:spacing w:val="-11"/>
          <w:w w:val="80"/>
          <w:sz w:val="72"/>
          <w:szCs w:val="72"/>
        </w:rPr>
        <w:t>铁桥中心幼儿园文件</w:t>
      </w:r>
    </w:p>
    <w:p w14:paraId="223CCBA0">
      <w:pPr>
        <w:spacing w:line="400" w:lineRule="exact"/>
        <w:jc w:val="center"/>
        <w:rPr>
          <w:rFonts w:eastAsia="黑体"/>
          <w:sz w:val="36"/>
        </w:rPr>
      </w:pPr>
    </w:p>
    <w:p w14:paraId="7DF183B6">
      <w:pPr>
        <w:spacing w:line="100" w:lineRule="exact"/>
        <w:jc w:val="center"/>
        <w:rPr>
          <w:rFonts w:eastAsia="黑体"/>
          <w:sz w:val="36"/>
        </w:rPr>
      </w:pPr>
    </w:p>
    <w:p w14:paraId="12F9F5B8">
      <w:pPr>
        <w:spacing w:line="600" w:lineRule="exact"/>
        <w:jc w:val="center"/>
        <w:rPr>
          <w:rFonts w:eastAsia="方正仿宋_GBK"/>
          <w:sz w:val="32"/>
          <w:szCs w:val="32"/>
        </w:rPr>
      </w:pPr>
      <w:r>
        <w:rPr>
          <w:rFonts w:eastAsia="方正仿宋_GBK"/>
          <w:sz w:val="32"/>
        </w:rPr>
        <w:t>开州</w:t>
      </w:r>
      <w:r>
        <w:rPr>
          <w:rFonts w:hint="eastAsia" w:eastAsia="方正仿宋_GBK"/>
          <w:sz w:val="32"/>
        </w:rPr>
        <w:t>铁幼</w:t>
      </w:r>
      <w:r>
        <w:rPr>
          <w:rFonts w:eastAsia="方正仿宋_GBK"/>
          <w:color w:val="000000"/>
          <w:sz w:val="32"/>
          <w:szCs w:val="32"/>
        </w:rPr>
        <w:t>〔2026〕</w:t>
      </w:r>
      <w:r>
        <w:rPr>
          <w:rFonts w:hint="eastAsia" w:eastAsia="方正仿宋_GBK"/>
          <w:sz w:val="32"/>
          <w:szCs w:val="32"/>
        </w:rPr>
        <w:t>2</w:t>
      </w:r>
      <w:r>
        <w:rPr>
          <w:rFonts w:eastAsia="方正仿宋_GBK"/>
          <w:sz w:val="32"/>
        </w:rPr>
        <w:t>号               签发人：</w:t>
      </w:r>
      <w:r>
        <w:rPr>
          <w:rFonts w:hint="eastAsia" w:eastAsia="方正楷体_GBK"/>
          <w:sz w:val="32"/>
        </w:rPr>
        <w:t>唐晓冰</w:t>
      </w:r>
    </w:p>
    <w:p w14:paraId="46167EDD">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6C56346A">
      <w:pPr>
        <w:spacing w:line="600" w:lineRule="exact"/>
        <w:jc w:val="center"/>
        <w:rPr>
          <w:rFonts w:eastAsia="方正小标宋简体"/>
          <w:sz w:val="44"/>
          <w:szCs w:val="44"/>
        </w:rPr>
      </w:pPr>
    </w:p>
    <w:p w14:paraId="4F1C190A"/>
    <w:p w14:paraId="0C13F250">
      <w:pPr>
        <w:pStyle w:val="2"/>
        <w:spacing w:line="62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铁桥中心幼儿园</w:t>
      </w:r>
    </w:p>
    <w:p w14:paraId="7CDC93E0">
      <w:pPr>
        <w:jc w:val="center"/>
        <w:rPr>
          <w:rFonts w:eastAsia="方正小标宋_GBK"/>
          <w:sz w:val="44"/>
          <w:szCs w:val="44"/>
        </w:rPr>
      </w:pPr>
      <w:r>
        <w:rPr>
          <w:rFonts w:eastAsia="方正小标宋_GBK"/>
          <w:sz w:val="44"/>
          <w:szCs w:val="44"/>
        </w:rPr>
        <w:t>关于2026年部门预算情况公开的公示</w:t>
      </w:r>
    </w:p>
    <w:p w14:paraId="2F5328CD">
      <w:pPr>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重庆市开州区铁桥中心幼儿园</w:t>
      </w:r>
      <w:r>
        <w:rPr>
          <w:rFonts w:eastAsia="方正仿宋_GBK"/>
          <w:sz w:val="32"/>
          <w:szCs w:val="32"/>
        </w:rPr>
        <w:t>2026年部门预算批复情况公开如下：</w:t>
      </w:r>
    </w:p>
    <w:p w14:paraId="3BF64036">
      <w:pPr>
        <w:jc w:val="center"/>
        <w:rPr>
          <w:rFonts w:eastAsia="方正黑体_GBK"/>
          <w:sz w:val="32"/>
          <w:szCs w:val="32"/>
        </w:rPr>
      </w:pPr>
    </w:p>
    <w:p w14:paraId="48C54344">
      <w:pPr>
        <w:jc w:val="center"/>
        <w:rPr>
          <w:rFonts w:eastAsia="方正黑体_GBK"/>
          <w:sz w:val="32"/>
          <w:szCs w:val="32"/>
        </w:rPr>
      </w:pPr>
    </w:p>
    <w:p w14:paraId="75F73F26">
      <w:pPr>
        <w:jc w:val="center"/>
        <w:rPr>
          <w:rFonts w:eastAsia="方正黑体_GBK"/>
          <w:sz w:val="32"/>
          <w:szCs w:val="32"/>
        </w:rPr>
      </w:pPr>
    </w:p>
    <w:p w14:paraId="31A31BA5">
      <w:pPr>
        <w:jc w:val="center"/>
        <w:rPr>
          <w:rFonts w:eastAsia="方正小标宋_GBK"/>
          <w:sz w:val="44"/>
          <w:szCs w:val="44"/>
        </w:rPr>
      </w:pPr>
    </w:p>
    <w:p w14:paraId="41253013">
      <w:pPr>
        <w:jc w:val="center"/>
        <w:rPr>
          <w:rFonts w:eastAsia="方正小标宋_GBK"/>
          <w:sz w:val="44"/>
          <w:szCs w:val="44"/>
        </w:rPr>
      </w:pPr>
    </w:p>
    <w:p w14:paraId="3B57378E">
      <w:pPr>
        <w:jc w:val="center"/>
        <w:rPr>
          <w:rFonts w:eastAsia="方正小标宋_GBK"/>
          <w:sz w:val="44"/>
          <w:szCs w:val="44"/>
        </w:rPr>
      </w:pPr>
    </w:p>
    <w:p w14:paraId="447D5092">
      <w:pPr>
        <w:jc w:val="center"/>
        <w:rPr>
          <w:rFonts w:eastAsia="方正小标宋_GBK"/>
          <w:sz w:val="44"/>
          <w:szCs w:val="44"/>
        </w:rPr>
      </w:pPr>
    </w:p>
    <w:p w14:paraId="2C9A8BFA">
      <w:pPr>
        <w:jc w:val="center"/>
        <w:rPr>
          <w:rFonts w:eastAsia="方正小标宋_GBK"/>
          <w:sz w:val="44"/>
          <w:szCs w:val="44"/>
        </w:rPr>
      </w:pPr>
    </w:p>
    <w:p w14:paraId="5269310F">
      <w:pPr>
        <w:jc w:val="center"/>
        <w:rPr>
          <w:rFonts w:eastAsia="方正小标宋_GBK"/>
          <w:sz w:val="44"/>
          <w:szCs w:val="44"/>
        </w:rPr>
      </w:pPr>
      <w:r>
        <w:rPr>
          <w:rFonts w:eastAsia="方正小标宋_GBK"/>
          <w:sz w:val="44"/>
          <w:szCs w:val="44"/>
        </w:rPr>
        <w:t>目    录</w:t>
      </w:r>
    </w:p>
    <w:p w14:paraId="2F33DF72"/>
    <w:p w14:paraId="265AB3C3">
      <w:pPr>
        <w:jc w:val="center"/>
        <w:rPr>
          <w:rFonts w:eastAsia="方正楷体_GBK"/>
          <w:sz w:val="32"/>
          <w:szCs w:val="32"/>
        </w:rPr>
      </w:pPr>
      <w:r>
        <w:rPr>
          <w:rFonts w:eastAsia="方正楷体_GBK"/>
          <w:sz w:val="32"/>
          <w:szCs w:val="32"/>
        </w:rPr>
        <w:t>第一部分：2026年部门预算情况说明</w:t>
      </w:r>
    </w:p>
    <w:p w14:paraId="2E62394F"/>
    <w:p w14:paraId="378D3462">
      <w:pPr>
        <w:spacing w:line="600" w:lineRule="exact"/>
        <w:rPr>
          <w:rFonts w:eastAsia="方正仿宋_GBK"/>
          <w:sz w:val="32"/>
          <w:szCs w:val="32"/>
        </w:rPr>
      </w:pPr>
      <w:r>
        <w:rPr>
          <w:rFonts w:eastAsia="方正仿宋_GBK"/>
          <w:sz w:val="32"/>
          <w:szCs w:val="32"/>
        </w:rPr>
        <w:t>一、单位基本情况</w:t>
      </w:r>
    </w:p>
    <w:p w14:paraId="7D2D0DAE">
      <w:pPr>
        <w:spacing w:line="600" w:lineRule="exact"/>
        <w:rPr>
          <w:rFonts w:eastAsia="方正仿宋_GBK"/>
          <w:sz w:val="32"/>
          <w:szCs w:val="32"/>
        </w:rPr>
      </w:pPr>
      <w:r>
        <w:rPr>
          <w:rFonts w:eastAsia="方正仿宋_GBK"/>
          <w:sz w:val="32"/>
          <w:szCs w:val="32"/>
        </w:rPr>
        <w:t>二、部门收支总体情况</w:t>
      </w:r>
    </w:p>
    <w:p w14:paraId="77F49E5D">
      <w:pPr>
        <w:spacing w:line="600" w:lineRule="exact"/>
        <w:rPr>
          <w:rFonts w:eastAsia="方正仿宋_GBK"/>
          <w:sz w:val="32"/>
          <w:szCs w:val="32"/>
        </w:rPr>
      </w:pPr>
      <w:r>
        <w:rPr>
          <w:rFonts w:eastAsia="方正仿宋_GBK"/>
          <w:sz w:val="32"/>
          <w:szCs w:val="32"/>
        </w:rPr>
        <w:t>三、部门预算情况说明</w:t>
      </w:r>
    </w:p>
    <w:p w14:paraId="1E548FD5">
      <w:pPr>
        <w:spacing w:line="600" w:lineRule="exact"/>
        <w:rPr>
          <w:rFonts w:eastAsia="方正仿宋_GBK"/>
          <w:sz w:val="32"/>
          <w:szCs w:val="32"/>
        </w:rPr>
      </w:pPr>
      <w:r>
        <w:rPr>
          <w:rFonts w:eastAsia="方正仿宋_GBK"/>
          <w:sz w:val="32"/>
          <w:szCs w:val="32"/>
        </w:rPr>
        <w:t>四、“三公”经费情况说明</w:t>
      </w:r>
    </w:p>
    <w:p w14:paraId="56D68002">
      <w:pPr>
        <w:spacing w:line="600" w:lineRule="exact"/>
        <w:rPr>
          <w:rFonts w:eastAsia="方正仿宋_GBK"/>
          <w:sz w:val="32"/>
          <w:szCs w:val="32"/>
        </w:rPr>
      </w:pPr>
      <w:r>
        <w:rPr>
          <w:rFonts w:eastAsia="方正仿宋_GBK"/>
          <w:sz w:val="32"/>
          <w:szCs w:val="32"/>
        </w:rPr>
        <w:t>五、其他重要事项的情况说明</w:t>
      </w:r>
    </w:p>
    <w:p w14:paraId="12B2663D">
      <w:pPr>
        <w:rPr>
          <w:rFonts w:eastAsia="方正仿宋_GBK"/>
          <w:sz w:val="32"/>
          <w:szCs w:val="32"/>
        </w:rPr>
      </w:pPr>
      <w:r>
        <w:rPr>
          <w:rFonts w:eastAsia="方正仿宋_GBK"/>
          <w:sz w:val="32"/>
          <w:szCs w:val="32"/>
        </w:rPr>
        <w:t>六、专业性名词解释</w:t>
      </w:r>
    </w:p>
    <w:p w14:paraId="4BA7248A">
      <w:pPr>
        <w:rPr>
          <w:rFonts w:eastAsia="方正仿宋_GBK"/>
          <w:sz w:val="32"/>
          <w:szCs w:val="32"/>
        </w:rPr>
      </w:pPr>
    </w:p>
    <w:p w14:paraId="169312BE">
      <w:pPr>
        <w:jc w:val="center"/>
      </w:pPr>
      <w:r>
        <w:rPr>
          <w:rFonts w:eastAsia="方正楷体_GBK"/>
          <w:sz w:val="32"/>
          <w:szCs w:val="32"/>
        </w:rPr>
        <w:t>第二部分：2026年部门预算公开报表</w:t>
      </w:r>
    </w:p>
    <w:p w14:paraId="047FE896"/>
    <w:p w14:paraId="0602A2B8">
      <w:pPr>
        <w:rPr>
          <w:rFonts w:eastAsia="方正仿宋_GBK"/>
          <w:sz w:val="32"/>
          <w:szCs w:val="32"/>
        </w:rPr>
      </w:pPr>
      <w:r>
        <w:rPr>
          <w:rFonts w:eastAsia="方正仿宋_GBK"/>
          <w:sz w:val="32"/>
          <w:szCs w:val="32"/>
        </w:rPr>
        <w:t>表1、</w:t>
      </w:r>
      <w:r>
        <w:rPr>
          <w:rFonts w:hint="eastAsia" w:eastAsia="方正仿宋_GBK"/>
          <w:sz w:val="32"/>
          <w:szCs w:val="32"/>
        </w:rPr>
        <w:t>重庆市开州区铁桥中心幼儿园</w:t>
      </w:r>
      <w:r>
        <w:rPr>
          <w:rFonts w:eastAsia="方正仿宋_GBK"/>
          <w:sz w:val="32"/>
          <w:szCs w:val="32"/>
        </w:rPr>
        <w:t>收支预算总表</w:t>
      </w:r>
    </w:p>
    <w:p w14:paraId="7134D433">
      <w:pPr>
        <w:rPr>
          <w:rFonts w:eastAsia="方正仿宋_GBK"/>
          <w:sz w:val="32"/>
          <w:szCs w:val="32"/>
        </w:rPr>
      </w:pPr>
      <w:r>
        <w:rPr>
          <w:rFonts w:eastAsia="方正仿宋_GBK"/>
          <w:sz w:val="32"/>
          <w:szCs w:val="32"/>
        </w:rPr>
        <w:t>表2、</w:t>
      </w:r>
      <w:r>
        <w:rPr>
          <w:rFonts w:hint="eastAsia" w:eastAsia="方正仿宋_GBK"/>
          <w:sz w:val="32"/>
          <w:szCs w:val="32"/>
        </w:rPr>
        <w:t>重庆市开州区铁桥中心幼儿园</w:t>
      </w:r>
      <w:r>
        <w:rPr>
          <w:rFonts w:eastAsia="方正仿宋_GBK"/>
          <w:sz w:val="32"/>
          <w:szCs w:val="32"/>
        </w:rPr>
        <w:t>收入总表</w:t>
      </w:r>
    </w:p>
    <w:p w14:paraId="06A75F32">
      <w:pPr>
        <w:rPr>
          <w:rFonts w:eastAsia="方正仿宋_GBK"/>
          <w:sz w:val="32"/>
          <w:szCs w:val="32"/>
        </w:rPr>
      </w:pPr>
      <w:r>
        <w:rPr>
          <w:rFonts w:eastAsia="方正仿宋_GBK"/>
          <w:sz w:val="32"/>
          <w:szCs w:val="32"/>
        </w:rPr>
        <w:t>表3、</w:t>
      </w:r>
      <w:r>
        <w:rPr>
          <w:rFonts w:hint="eastAsia" w:eastAsia="方正仿宋_GBK"/>
          <w:sz w:val="32"/>
          <w:szCs w:val="32"/>
        </w:rPr>
        <w:t>重庆市开州区铁桥中心幼儿园</w:t>
      </w:r>
      <w:r>
        <w:rPr>
          <w:rFonts w:eastAsia="方正仿宋_GBK"/>
          <w:sz w:val="32"/>
          <w:szCs w:val="32"/>
        </w:rPr>
        <w:t>本年支出预算总表</w:t>
      </w:r>
    </w:p>
    <w:p w14:paraId="600DDEFB">
      <w:pPr>
        <w:rPr>
          <w:rFonts w:eastAsia="方正仿宋_GBK"/>
          <w:sz w:val="32"/>
          <w:szCs w:val="32"/>
        </w:rPr>
      </w:pPr>
      <w:r>
        <w:rPr>
          <w:rFonts w:eastAsia="方正仿宋_GBK"/>
          <w:sz w:val="32"/>
          <w:szCs w:val="32"/>
        </w:rPr>
        <w:t>表4、</w:t>
      </w:r>
      <w:r>
        <w:rPr>
          <w:rFonts w:hint="eastAsia" w:eastAsia="方正仿宋_GBK"/>
          <w:sz w:val="32"/>
          <w:szCs w:val="32"/>
        </w:rPr>
        <w:t>重庆市开州区铁桥中心幼儿园</w:t>
      </w:r>
      <w:r>
        <w:rPr>
          <w:rFonts w:eastAsia="方正仿宋_GBK"/>
          <w:sz w:val="32"/>
          <w:szCs w:val="32"/>
        </w:rPr>
        <w:t>财政拨款收支预算总表</w:t>
      </w:r>
    </w:p>
    <w:p w14:paraId="22EAD6AC">
      <w:pPr>
        <w:rPr>
          <w:rFonts w:eastAsia="方正仿宋_GBK"/>
          <w:sz w:val="32"/>
          <w:szCs w:val="32"/>
        </w:rPr>
      </w:pPr>
      <w:r>
        <w:rPr>
          <w:rFonts w:eastAsia="方正仿宋_GBK"/>
          <w:sz w:val="32"/>
          <w:szCs w:val="32"/>
        </w:rPr>
        <w:t>表5、</w:t>
      </w:r>
      <w:r>
        <w:rPr>
          <w:rFonts w:hint="eastAsia" w:eastAsia="方正仿宋_GBK"/>
          <w:sz w:val="32"/>
          <w:szCs w:val="32"/>
        </w:rPr>
        <w:t>重庆市开州区铁桥中心幼儿园</w:t>
      </w:r>
      <w:r>
        <w:rPr>
          <w:rFonts w:eastAsia="方正仿宋_GBK"/>
          <w:sz w:val="32"/>
          <w:szCs w:val="32"/>
        </w:rPr>
        <w:t>本年一般公共预算支出预算表</w:t>
      </w:r>
    </w:p>
    <w:p w14:paraId="6D127019">
      <w:pPr>
        <w:rPr>
          <w:rFonts w:eastAsia="方正仿宋_GBK"/>
          <w:sz w:val="32"/>
          <w:szCs w:val="32"/>
        </w:rPr>
      </w:pPr>
      <w:r>
        <w:rPr>
          <w:rFonts w:eastAsia="方正仿宋_GBK"/>
          <w:sz w:val="32"/>
          <w:szCs w:val="32"/>
        </w:rPr>
        <w:t>表6、</w:t>
      </w:r>
      <w:r>
        <w:rPr>
          <w:rFonts w:hint="eastAsia" w:eastAsia="方正仿宋_GBK"/>
          <w:sz w:val="32"/>
          <w:szCs w:val="32"/>
        </w:rPr>
        <w:t>重庆市开州区铁桥中心幼儿园</w:t>
      </w:r>
      <w:r>
        <w:rPr>
          <w:rFonts w:eastAsia="方正仿宋_GBK"/>
          <w:sz w:val="32"/>
          <w:szCs w:val="32"/>
        </w:rPr>
        <w:t>一般公共预算基本支出预算表</w:t>
      </w:r>
    </w:p>
    <w:p w14:paraId="64C87259">
      <w:pPr>
        <w:rPr>
          <w:rFonts w:eastAsia="方正仿宋_GBK"/>
          <w:sz w:val="32"/>
          <w:szCs w:val="32"/>
        </w:rPr>
      </w:pPr>
      <w:r>
        <w:rPr>
          <w:rFonts w:eastAsia="方正仿宋_GBK"/>
          <w:sz w:val="32"/>
          <w:szCs w:val="32"/>
        </w:rPr>
        <w:t>表7、</w:t>
      </w:r>
      <w:r>
        <w:rPr>
          <w:rFonts w:hint="eastAsia" w:eastAsia="方正仿宋_GBK"/>
          <w:sz w:val="32"/>
          <w:szCs w:val="32"/>
        </w:rPr>
        <w:t>重庆市开州区铁桥中心幼儿园</w:t>
      </w:r>
      <w:r>
        <w:rPr>
          <w:rFonts w:eastAsia="方正仿宋_GBK"/>
          <w:sz w:val="32"/>
          <w:szCs w:val="32"/>
        </w:rPr>
        <w:t>一般公共预算“三公”经费支出预算表</w:t>
      </w:r>
    </w:p>
    <w:p w14:paraId="7B45EF4B">
      <w:pPr>
        <w:rPr>
          <w:rFonts w:eastAsia="方正仿宋_GBK"/>
          <w:sz w:val="32"/>
          <w:szCs w:val="32"/>
        </w:rPr>
      </w:pPr>
      <w:r>
        <w:rPr>
          <w:rFonts w:eastAsia="方正仿宋_GBK"/>
          <w:sz w:val="32"/>
          <w:szCs w:val="32"/>
        </w:rPr>
        <w:t>表8、</w:t>
      </w:r>
      <w:r>
        <w:rPr>
          <w:rFonts w:hint="eastAsia" w:eastAsia="方正仿宋_GBK"/>
          <w:sz w:val="32"/>
          <w:szCs w:val="32"/>
        </w:rPr>
        <w:t>重庆市开州区铁桥中心幼儿园</w:t>
      </w:r>
      <w:r>
        <w:rPr>
          <w:rFonts w:eastAsia="方正仿宋_GBK"/>
          <w:sz w:val="32"/>
          <w:szCs w:val="32"/>
        </w:rPr>
        <w:t>政府性基金预算支出预算表</w:t>
      </w:r>
    </w:p>
    <w:p w14:paraId="6E6A1102">
      <w:pPr>
        <w:rPr>
          <w:rFonts w:eastAsia="方正仿宋_GBK"/>
          <w:sz w:val="32"/>
          <w:szCs w:val="32"/>
        </w:rPr>
      </w:pPr>
      <w:r>
        <w:rPr>
          <w:rFonts w:eastAsia="方正仿宋_GBK"/>
          <w:sz w:val="32"/>
          <w:szCs w:val="32"/>
        </w:rPr>
        <w:t>表9、</w:t>
      </w:r>
      <w:r>
        <w:rPr>
          <w:rFonts w:hint="eastAsia" w:eastAsia="方正仿宋_GBK"/>
          <w:sz w:val="32"/>
          <w:szCs w:val="32"/>
        </w:rPr>
        <w:t>重庆市开州区铁桥中心幼儿园</w:t>
      </w:r>
      <w:r>
        <w:rPr>
          <w:rFonts w:eastAsia="方正仿宋_GBK"/>
          <w:sz w:val="32"/>
          <w:szCs w:val="32"/>
        </w:rPr>
        <w:t>国有资本经营预算支出预算表</w:t>
      </w:r>
    </w:p>
    <w:p w14:paraId="6D81BADD">
      <w:pPr>
        <w:rPr>
          <w:rFonts w:eastAsia="方正仿宋_GBK"/>
          <w:sz w:val="32"/>
          <w:szCs w:val="32"/>
        </w:rPr>
      </w:pPr>
      <w:r>
        <w:rPr>
          <w:rFonts w:eastAsia="方正仿宋_GBK"/>
          <w:sz w:val="32"/>
          <w:szCs w:val="32"/>
        </w:rPr>
        <w:t>表10、</w:t>
      </w:r>
      <w:r>
        <w:rPr>
          <w:rFonts w:hint="eastAsia" w:eastAsia="方正仿宋_GBK"/>
          <w:sz w:val="32"/>
          <w:szCs w:val="32"/>
        </w:rPr>
        <w:t>重庆市开州区铁桥中心幼儿园</w:t>
      </w:r>
      <w:r>
        <w:rPr>
          <w:rFonts w:eastAsia="方正仿宋_GBK"/>
          <w:sz w:val="32"/>
          <w:szCs w:val="32"/>
        </w:rPr>
        <w:t>项目支出表</w:t>
      </w:r>
    </w:p>
    <w:p w14:paraId="06E46E37">
      <w:r>
        <w:rPr>
          <w:rFonts w:eastAsia="方正仿宋_GBK"/>
          <w:sz w:val="32"/>
          <w:szCs w:val="32"/>
        </w:rPr>
        <w:t>表11、2026年</w:t>
      </w:r>
      <w:r>
        <w:rPr>
          <w:rFonts w:hint="eastAsia" w:eastAsia="方正仿宋_GBK"/>
          <w:sz w:val="32"/>
          <w:szCs w:val="32"/>
        </w:rPr>
        <w:t>重庆市开州区铁桥中心幼儿园</w:t>
      </w:r>
      <w:r>
        <w:rPr>
          <w:rFonts w:eastAsia="方正仿宋_GBK"/>
          <w:sz w:val="32"/>
          <w:szCs w:val="32"/>
        </w:rPr>
        <w:t>项目绩效目标表</w:t>
      </w:r>
    </w:p>
    <w:p w14:paraId="4F432336">
      <w:pPr>
        <w:rPr>
          <w:rFonts w:eastAsia="方正仿宋_GBK"/>
          <w:b/>
          <w:bCs/>
          <w:sz w:val="32"/>
          <w:szCs w:val="32"/>
        </w:rPr>
      </w:pPr>
      <w:r>
        <w:rPr>
          <w:rFonts w:eastAsia="方正仿宋_GBK"/>
          <w:b/>
          <w:bCs/>
          <w:sz w:val="32"/>
          <w:szCs w:val="32"/>
        </w:rPr>
        <w:t>注：上述表格详见附表《</w:t>
      </w:r>
      <w:r>
        <w:rPr>
          <w:rFonts w:hint="eastAsia" w:eastAsia="方正仿宋_GBK"/>
          <w:b/>
          <w:bCs/>
          <w:sz w:val="32"/>
          <w:szCs w:val="32"/>
        </w:rPr>
        <w:t>重庆市开州区铁桥中心幼儿园</w:t>
      </w:r>
      <w:r>
        <w:rPr>
          <w:rFonts w:eastAsia="方正仿宋_GBK"/>
          <w:b/>
          <w:bCs/>
          <w:sz w:val="32"/>
          <w:szCs w:val="32"/>
        </w:rPr>
        <w:t>2026年部门预算公开报表》。</w:t>
      </w:r>
    </w:p>
    <w:p w14:paraId="21F1FA71"/>
    <w:p w14:paraId="0D6413B7"/>
    <w:p w14:paraId="59EFE18B"/>
    <w:p w14:paraId="3C064784"/>
    <w:p w14:paraId="765F13F6"/>
    <w:p w14:paraId="197209EE">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第一部分：2026年部门预算情况说明</w:t>
      </w:r>
    </w:p>
    <w:p w14:paraId="178F42DB">
      <w:pPr>
        <w:spacing w:line="600" w:lineRule="exact"/>
        <w:ind w:firstLine="880" w:firstLineChars="200"/>
        <w:jc w:val="center"/>
        <w:rPr>
          <w:rFonts w:eastAsia="华文中宋"/>
          <w:sz w:val="44"/>
          <w:szCs w:val="44"/>
        </w:rPr>
      </w:pPr>
    </w:p>
    <w:p w14:paraId="130E29FE">
      <w:pPr>
        <w:spacing w:line="600" w:lineRule="exact"/>
        <w:ind w:left="640"/>
        <w:rPr>
          <w:rFonts w:eastAsia="方正黑体_GBK"/>
          <w:sz w:val="32"/>
        </w:rPr>
      </w:pPr>
      <w:r>
        <w:rPr>
          <w:rFonts w:eastAsia="方正黑体_GBK"/>
          <w:sz w:val="32"/>
        </w:rPr>
        <w:t>一、单位基本情况</w:t>
      </w:r>
    </w:p>
    <w:p w14:paraId="75F14C19">
      <w:pPr>
        <w:spacing w:line="600" w:lineRule="exact"/>
        <w:ind w:firstLine="640" w:firstLineChars="200"/>
        <w:rPr>
          <w:rFonts w:eastAsia="方正楷体_GBK"/>
          <w:sz w:val="32"/>
        </w:rPr>
      </w:pPr>
      <w:r>
        <w:rPr>
          <w:rFonts w:eastAsia="方正楷体_GBK"/>
          <w:sz w:val="32"/>
        </w:rPr>
        <w:t>（一）职能职责</w:t>
      </w:r>
    </w:p>
    <w:p w14:paraId="2459F7E0">
      <w:pPr>
        <w:spacing w:line="600" w:lineRule="exact"/>
        <w:ind w:firstLine="640" w:firstLineChars="200"/>
        <w:rPr>
          <w:rFonts w:eastAsia="方正仿宋_GBK"/>
          <w:sz w:val="32"/>
        </w:rPr>
      </w:pPr>
      <w:r>
        <w:rPr>
          <w:rFonts w:hint="eastAsia" w:eastAsia="方正仿宋_GBK"/>
          <w:sz w:val="32"/>
        </w:rPr>
        <w:t>1.实行保育与教育相结合的原则，对幼儿实施体、智、德、美诸方面全面发展的教育，促进其身心和谐发展。</w:t>
      </w:r>
    </w:p>
    <w:p w14:paraId="2401075B">
      <w:pPr>
        <w:spacing w:line="600" w:lineRule="exact"/>
        <w:ind w:firstLine="640" w:firstLineChars="200"/>
        <w:rPr>
          <w:rFonts w:eastAsia="方正仿宋_GBK"/>
          <w:sz w:val="32"/>
        </w:rPr>
      </w:pPr>
      <w:r>
        <w:rPr>
          <w:rFonts w:hint="eastAsia" w:eastAsia="方正仿宋_GBK"/>
          <w:sz w:val="32"/>
        </w:rPr>
        <w:t>2.做好入园孩子在园期间的安全监管、生理和心理卫生保健工作。</w:t>
      </w:r>
    </w:p>
    <w:p w14:paraId="494E62B5">
      <w:pPr>
        <w:pStyle w:val="7"/>
        <w:tabs>
          <w:tab w:val="center" w:pos="4153"/>
          <w:tab w:val="left" w:pos="7275"/>
        </w:tabs>
        <w:spacing w:line="600" w:lineRule="exact"/>
        <w:ind w:left="640" w:firstLine="0" w:firstLineChars="0"/>
        <w:jc w:val="left"/>
        <w:rPr>
          <w:rFonts w:ascii="Times New Roman" w:hAnsi="Times New Roman" w:eastAsia="方正楷体_GBK"/>
          <w:sz w:val="32"/>
        </w:rPr>
      </w:pPr>
      <w:r>
        <w:rPr>
          <w:rFonts w:ascii="Times New Roman" w:hAnsi="Times New Roman" w:eastAsia="方正楷体_GBK"/>
          <w:sz w:val="32"/>
        </w:rPr>
        <w:t>（二）单位构成</w:t>
      </w:r>
    </w:p>
    <w:p w14:paraId="1FD11CA4">
      <w:pPr>
        <w:pStyle w:val="7"/>
        <w:tabs>
          <w:tab w:val="center" w:pos="4153"/>
          <w:tab w:val="left" w:pos="7275"/>
        </w:tabs>
        <w:spacing w:line="600" w:lineRule="exact"/>
        <w:ind w:firstLine="640"/>
        <w:jc w:val="left"/>
        <w:rPr>
          <w:rFonts w:ascii="Times New Roman" w:hAnsi="Times New Roman" w:eastAsia="方正仿宋_GBK"/>
          <w:sz w:val="32"/>
        </w:rPr>
      </w:pPr>
      <w:r>
        <w:rPr>
          <w:rFonts w:hint="eastAsia" w:ascii="Times New Roman" w:hAnsi="Times New Roman" w:eastAsia="方正仿宋_GBK"/>
          <w:sz w:val="32"/>
        </w:rPr>
        <w:t>本单位内设3个机构处室，分别是保教处、安稳办、综合办。</w:t>
      </w:r>
    </w:p>
    <w:p w14:paraId="5F73E041">
      <w:pPr>
        <w:pStyle w:val="7"/>
        <w:tabs>
          <w:tab w:val="center" w:pos="4153"/>
          <w:tab w:val="left" w:pos="7275"/>
        </w:tabs>
        <w:spacing w:line="600" w:lineRule="exact"/>
        <w:ind w:firstLine="640"/>
        <w:jc w:val="left"/>
        <w:rPr>
          <w:rFonts w:ascii="Times New Roman" w:hAnsi="Times New Roman" w:eastAsia="方正仿宋_GBK"/>
          <w:sz w:val="32"/>
        </w:rPr>
      </w:pPr>
      <w:r>
        <w:rPr>
          <w:rFonts w:hint="eastAsia" w:ascii="Times New Roman" w:hAnsi="Times New Roman" w:eastAsia="方正仿宋_GBK"/>
          <w:sz w:val="32"/>
        </w:rPr>
        <w:t>本单位为二级预算单位，主管部门为重庆市开州区教育委员会。</w:t>
      </w:r>
    </w:p>
    <w:p w14:paraId="5BB43575">
      <w:pPr>
        <w:spacing w:line="600" w:lineRule="exact"/>
        <w:ind w:left="640"/>
        <w:rPr>
          <w:rFonts w:eastAsia="方正仿宋_GBK"/>
          <w:sz w:val="32"/>
        </w:rPr>
      </w:pPr>
      <w:r>
        <w:rPr>
          <w:rFonts w:eastAsia="方正黑体_GBK"/>
          <w:sz w:val="32"/>
        </w:rPr>
        <w:t>二、部门收支总体情况</w:t>
      </w:r>
    </w:p>
    <w:p w14:paraId="4666ABBE">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417.71</w:t>
      </w:r>
      <w:r>
        <w:rPr>
          <w:rFonts w:eastAsia="方正仿宋_GBK"/>
          <w:sz w:val="32"/>
        </w:rPr>
        <w:t>万元</w:t>
      </w:r>
      <w:r>
        <w:rPr>
          <w:rFonts w:hint="eastAsia" w:eastAsia="方正仿宋_GBK"/>
          <w:sz w:val="32"/>
        </w:rPr>
        <w:t>，</w:t>
      </w:r>
      <w:r>
        <w:rPr>
          <w:rFonts w:eastAsia="方正仿宋_GBK"/>
          <w:sz w:val="32"/>
        </w:rPr>
        <w:t>上年结转</w:t>
      </w:r>
      <w:r>
        <w:rPr>
          <w:rFonts w:hint="eastAsia" w:eastAsia="方正仿宋_GBK"/>
          <w:sz w:val="32"/>
        </w:rPr>
        <w:t>19.29</w:t>
      </w:r>
      <w:r>
        <w:rPr>
          <w:rFonts w:eastAsia="方正仿宋_GBK"/>
          <w:sz w:val="32"/>
        </w:rPr>
        <w:t>万元，其中：一般公共预算拨款收入</w:t>
      </w:r>
      <w:r>
        <w:rPr>
          <w:rFonts w:hint="eastAsia" w:eastAsia="方正仿宋_GBK"/>
          <w:sz w:val="32"/>
        </w:rPr>
        <w:t>417.71</w:t>
      </w:r>
      <w:r>
        <w:rPr>
          <w:rFonts w:eastAsia="方正仿宋_GBK"/>
          <w:sz w:val="32"/>
        </w:rPr>
        <w:t>万元</w:t>
      </w:r>
      <w:r>
        <w:rPr>
          <w:rFonts w:hint="eastAsia" w:eastAsia="方正仿宋_GBK"/>
          <w:sz w:val="32"/>
        </w:rPr>
        <w:t>，</w:t>
      </w:r>
      <w:r>
        <w:rPr>
          <w:rFonts w:eastAsia="方正仿宋_GBK"/>
          <w:sz w:val="32"/>
        </w:rPr>
        <w:t>上年结转</w:t>
      </w:r>
      <w:r>
        <w:rPr>
          <w:rFonts w:hint="eastAsia" w:eastAsia="方正仿宋_GBK"/>
          <w:sz w:val="32"/>
        </w:rPr>
        <w:t>19.29</w:t>
      </w:r>
      <w:r>
        <w:rPr>
          <w:rFonts w:eastAsia="方正仿宋_GBK"/>
          <w:sz w:val="32"/>
        </w:rPr>
        <w:t>万元，政府性基金预算拨款收入</w:t>
      </w:r>
      <w:r>
        <w:rPr>
          <w:rFonts w:hint="eastAsia" w:eastAsia="方正仿宋_GBK"/>
          <w:sz w:val="32"/>
        </w:rPr>
        <w:t>0</w:t>
      </w:r>
      <w:r>
        <w:rPr>
          <w:rFonts w:eastAsia="方正仿宋_GBK"/>
          <w:sz w:val="32"/>
        </w:rPr>
        <w:t>万元，上年结转</w:t>
      </w:r>
      <w:r>
        <w:rPr>
          <w:rFonts w:hint="eastAsia" w:eastAsia="方正仿宋_GBK"/>
          <w:sz w:val="32"/>
        </w:rPr>
        <w:t>0</w:t>
      </w:r>
      <w:r>
        <w:rPr>
          <w:rFonts w:eastAsia="方正仿宋_GBK"/>
          <w:sz w:val="32"/>
        </w:rPr>
        <w:t>万元。收入较2025年增加</w:t>
      </w:r>
      <w:r>
        <w:rPr>
          <w:rFonts w:hint="eastAsia" w:eastAsia="方正仿宋_GBK"/>
          <w:sz w:val="32"/>
        </w:rPr>
        <w:t>33.44</w:t>
      </w:r>
      <w:r>
        <w:rPr>
          <w:rFonts w:eastAsia="方正仿宋_GBK"/>
          <w:sz w:val="32"/>
        </w:rPr>
        <w:t>万元，主要是一般公共预算拨款增加</w:t>
      </w:r>
      <w:r>
        <w:rPr>
          <w:rFonts w:hint="eastAsia" w:eastAsia="方正仿宋_GBK"/>
          <w:sz w:val="32"/>
        </w:rPr>
        <w:t>33.44</w:t>
      </w:r>
      <w:r>
        <w:rPr>
          <w:rFonts w:eastAsia="方正仿宋_GBK"/>
          <w:sz w:val="32"/>
        </w:rPr>
        <w:t>万元。</w:t>
      </w:r>
    </w:p>
    <w:p w14:paraId="3A6C8FC9">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417.71</w:t>
      </w:r>
      <w:r>
        <w:rPr>
          <w:rFonts w:eastAsia="方正仿宋_GBK"/>
          <w:sz w:val="32"/>
        </w:rPr>
        <w:t>万元，其中：教育支出预算</w:t>
      </w:r>
      <w:r>
        <w:rPr>
          <w:rFonts w:hint="eastAsia" w:eastAsia="方正仿宋_GBK"/>
          <w:sz w:val="32"/>
        </w:rPr>
        <w:t>333.41</w:t>
      </w:r>
      <w:r>
        <w:rPr>
          <w:rFonts w:eastAsia="方正仿宋_GBK"/>
          <w:sz w:val="32"/>
        </w:rPr>
        <w:t>万元，社会保障和就业支出预算</w:t>
      </w:r>
      <w:r>
        <w:rPr>
          <w:rFonts w:hint="eastAsia" w:eastAsia="方正仿宋_GBK"/>
          <w:sz w:val="32"/>
        </w:rPr>
        <w:t>50.31</w:t>
      </w:r>
      <w:r>
        <w:rPr>
          <w:rFonts w:eastAsia="方正仿宋_GBK"/>
          <w:sz w:val="32"/>
        </w:rPr>
        <w:t>万元，卫生健康支出预算</w:t>
      </w:r>
      <w:r>
        <w:rPr>
          <w:rFonts w:hint="eastAsia" w:eastAsia="方正仿宋_GBK"/>
          <w:sz w:val="32"/>
        </w:rPr>
        <w:t>17.41</w:t>
      </w:r>
      <w:r>
        <w:rPr>
          <w:rFonts w:eastAsia="方正仿宋_GBK"/>
          <w:sz w:val="32"/>
        </w:rPr>
        <w:t>万元，住房保障支出预算</w:t>
      </w:r>
      <w:r>
        <w:rPr>
          <w:rFonts w:hint="eastAsia" w:eastAsia="方正仿宋_GBK"/>
          <w:sz w:val="32"/>
        </w:rPr>
        <w:t>16.58</w:t>
      </w:r>
      <w:r>
        <w:rPr>
          <w:rFonts w:eastAsia="方正仿宋_GBK"/>
          <w:sz w:val="32"/>
        </w:rPr>
        <w:t>万元。支出预算较2025年增加</w:t>
      </w:r>
      <w:r>
        <w:rPr>
          <w:rFonts w:hint="eastAsia" w:eastAsia="方正仿宋_GBK"/>
          <w:sz w:val="32"/>
        </w:rPr>
        <w:t>33.44</w:t>
      </w:r>
      <w:r>
        <w:rPr>
          <w:rFonts w:eastAsia="方正仿宋_GBK"/>
          <w:sz w:val="32"/>
        </w:rPr>
        <w:t>万元，主要是基本支出预算增加</w:t>
      </w:r>
      <w:r>
        <w:rPr>
          <w:rFonts w:hint="eastAsia" w:eastAsia="方正仿宋_GBK"/>
          <w:sz w:val="32"/>
        </w:rPr>
        <w:t>11.91</w:t>
      </w:r>
      <w:r>
        <w:rPr>
          <w:rFonts w:eastAsia="方正仿宋_GBK"/>
          <w:sz w:val="32"/>
        </w:rPr>
        <w:t>万元，项目支出预算增加</w:t>
      </w:r>
      <w:r>
        <w:rPr>
          <w:rFonts w:hint="eastAsia" w:eastAsia="方正仿宋_GBK"/>
          <w:sz w:val="32"/>
        </w:rPr>
        <w:t>21.53</w:t>
      </w:r>
      <w:r>
        <w:rPr>
          <w:rFonts w:eastAsia="方正仿宋_GBK"/>
          <w:sz w:val="32"/>
        </w:rPr>
        <w:t>万元。</w:t>
      </w:r>
    </w:p>
    <w:p w14:paraId="57B1DA36">
      <w:pPr>
        <w:spacing w:line="600" w:lineRule="exact"/>
        <w:ind w:left="640"/>
        <w:rPr>
          <w:rFonts w:eastAsia="方正黑体_GBK"/>
          <w:sz w:val="32"/>
        </w:rPr>
      </w:pPr>
      <w:r>
        <w:rPr>
          <w:rFonts w:eastAsia="方正黑体_GBK"/>
          <w:sz w:val="32"/>
        </w:rPr>
        <w:t>三、部门预算情况说明</w:t>
      </w:r>
    </w:p>
    <w:p w14:paraId="53D1FE5F">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417.71</w:t>
      </w:r>
      <w:r>
        <w:rPr>
          <w:rFonts w:eastAsia="方正仿宋_GBK"/>
          <w:sz w:val="32"/>
        </w:rPr>
        <w:t>万元，一般公共预算财政拨款支出</w:t>
      </w:r>
      <w:r>
        <w:rPr>
          <w:rFonts w:hint="eastAsia" w:eastAsia="方正仿宋_GBK"/>
          <w:sz w:val="32"/>
        </w:rPr>
        <w:t>417.71</w:t>
      </w:r>
      <w:r>
        <w:rPr>
          <w:rFonts w:eastAsia="方正仿宋_GBK"/>
          <w:sz w:val="32"/>
        </w:rPr>
        <w:t>万元，比2025年增加</w:t>
      </w:r>
      <w:r>
        <w:rPr>
          <w:rFonts w:hint="eastAsia" w:eastAsia="方正仿宋_GBK"/>
          <w:sz w:val="32"/>
        </w:rPr>
        <w:t>33.44</w:t>
      </w:r>
      <w:r>
        <w:rPr>
          <w:rFonts w:eastAsia="方正仿宋_GBK"/>
          <w:sz w:val="32"/>
        </w:rPr>
        <w:t>万元。其中：基本支出</w:t>
      </w:r>
      <w:r>
        <w:rPr>
          <w:rFonts w:hint="eastAsia" w:eastAsia="方正仿宋_GBK"/>
          <w:sz w:val="32"/>
        </w:rPr>
        <w:t>335.68</w:t>
      </w:r>
      <w:r>
        <w:rPr>
          <w:rFonts w:eastAsia="方正仿宋_GBK"/>
          <w:sz w:val="32"/>
        </w:rPr>
        <w:t>万元，比2025年增加</w:t>
      </w:r>
      <w:r>
        <w:rPr>
          <w:rFonts w:hint="eastAsia" w:eastAsia="方正仿宋_GBK"/>
          <w:sz w:val="32"/>
        </w:rPr>
        <w:t>11.91</w:t>
      </w:r>
      <w:r>
        <w:rPr>
          <w:rFonts w:eastAsia="方正仿宋_GBK"/>
          <w:sz w:val="32"/>
        </w:rPr>
        <w:t>万元，主要原因是在职人员养老保险</w:t>
      </w:r>
      <w:r>
        <w:rPr>
          <w:rFonts w:hint="eastAsia" w:eastAsia="方正仿宋_GBK"/>
          <w:sz w:val="32"/>
        </w:rPr>
        <w:t>、</w:t>
      </w:r>
      <w:r>
        <w:rPr>
          <w:rFonts w:eastAsia="方正仿宋_GBK"/>
          <w:sz w:val="32"/>
        </w:rPr>
        <w:t>职业年金缴费基数调标</w:t>
      </w:r>
      <w:r>
        <w:rPr>
          <w:rFonts w:hint="eastAsia" w:eastAsia="方正仿宋_GBK"/>
          <w:sz w:val="32"/>
        </w:rPr>
        <w:t>、工资调标等</w:t>
      </w:r>
      <w:r>
        <w:rPr>
          <w:rFonts w:eastAsia="方正仿宋_GBK"/>
          <w:sz w:val="32"/>
        </w:rPr>
        <w:t>，所以支出增加，主要用于保障在职人员工资福利及社会保险缴费，离休人员离休费，退休人员补助等，保障部门正常运转的各项商品服务支出；项目支出</w:t>
      </w:r>
      <w:r>
        <w:rPr>
          <w:rFonts w:hint="eastAsia" w:eastAsia="方正仿宋_GBK"/>
          <w:sz w:val="32"/>
        </w:rPr>
        <w:t>82.03</w:t>
      </w:r>
      <w:r>
        <w:rPr>
          <w:rFonts w:eastAsia="方正仿宋_GBK"/>
          <w:sz w:val="32"/>
        </w:rPr>
        <w:t>万元，比2025年增加</w:t>
      </w:r>
      <w:r>
        <w:rPr>
          <w:rFonts w:hint="eastAsia" w:eastAsia="方正仿宋_GBK"/>
          <w:sz w:val="32"/>
        </w:rPr>
        <w:t>21.53</w:t>
      </w:r>
      <w:r>
        <w:rPr>
          <w:rFonts w:eastAsia="方正仿宋_GBK"/>
          <w:sz w:val="32"/>
        </w:rPr>
        <w:t>万元，主要原因是</w:t>
      </w:r>
      <w:r>
        <w:rPr>
          <w:rFonts w:hint="eastAsia" w:eastAsia="方正仿宋_GBK"/>
          <w:sz w:val="32"/>
        </w:rPr>
        <w:t>扩大学前资源奖补资金项目预算投入增加</w:t>
      </w:r>
      <w:r>
        <w:rPr>
          <w:rFonts w:eastAsia="方正仿宋_GBK"/>
          <w:sz w:val="32"/>
        </w:rPr>
        <w:t>，主要用于</w:t>
      </w:r>
      <w:r>
        <w:rPr>
          <w:rFonts w:hint="eastAsia" w:eastAsia="方正仿宋_GBK"/>
          <w:sz w:val="32"/>
        </w:rPr>
        <w:t>2026年学前一年免保教费补助、学前经济困难幼儿资助-免保教费补助、学前膳食补助、改善办园条件（玩具材料及图画书）、户外幼儿活动场地打造等重点工作</w:t>
      </w:r>
      <w:r>
        <w:rPr>
          <w:rFonts w:eastAsia="方正仿宋_GBK"/>
          <w:sz w:val="32"/>
        </w:rPr>
        <w:t>。</w:t>
      </w:r>
    </w:p>
    <w:p w14:paraId="2A526A3F">
      <w:pPr>
        <w:spacing w:line="600" w:lineRule="exact"/>
        <w:ind w:firstLine="640" w:firstLineChars="200"/>
        <w:rPr>
          <w:rFonts w:eastAsia="方正仿宋_GBK"/>
          <w:sz w:val="32"/>
        </w:rPr>
      </w:pPr>
      <w:r>
        <w:rPr>
          <w:rFonts w:hint="eastAsia" w:eastAsia="方正仿宋_GBK"/>
          <w:sz w:val="32"/>
        </w:rPr>
        <w:t>重庆市开州区铁桥中心幼儿园</w:t>
      </w:r>
      <w:r>
        <w:rPr>
          <w:rFonts w:eastAsia="方正仿宋_GBK"/>
          <w:sz w:val="32"/>
        </w:rPr>
        <w:t>2026年无使用政府性基金预算拨款安排的支出</w:t>
      </w:r>
      <w:r>
        <w:rPr>
          <w:rFonts w:hint="eastAsia" w:eastAsia="方正仿宋_GBK"/>
          <w:sz w:val="32"/>
        </w:rPr>
        <w:t>。</w:t>
      </w:r>
    </w:p>
    <w:p w14:paraId="3A9671F9">
      <w:pPr>
        <w:numPr>
          <w:ilvl w:val="0"/>
          <w:numId w:val="1"/>
        </w:numPr>
        <w:spacing w:line="600" w:lineRule="exact"/>
        <w:ind w:left="640"/>
        <w:rPr>
          <w:rFonts w:eastAsia="方正黑体_GBK"/>
          <w:sz w:val="32"/>
        </w:rPr>
      </w:pPr>
      <w:r>
        <w:rPr>
          <w:rFonts w:eastAsia="方正黑体_GBK"/>
          <w:sz w:val="32"/>
        </w:rPr>
        <w:t>“三公”经费情况说明</w:t>
      </w:r>
    </w:p>
    <w:p w14:paraId="79975F16">
      <w:pPr>
        <w:spacing w:line="600" w:lineRule="exact"/>
        <w:ind w:firstLine="640" w:firstLineChars="200"/>
        <w:rPr>
          <w:rFonts w:eastAsia="方正仿宋_GBK"/>
          <w:sz w:val="32"/>
        </w:rPr>
      </w:pPr>
      <w:r>
        <w:rPr>
          <w:rFonts w:hint="eastAsia" w:eastAsia="方正仿宋_GBK"/>
          <w:sz w:val="32"/>
        </w:rPr>
        <w:t>重庆市开州区铁桥中心幼儿园2026年未安排“三公”经费预算。</w:t>
      </w:r>
    </w:p>
    <w:p w14:paraId="19E17D50">
      <w:pPr>
        <w:spacing w:line="600" w:lineRule="exact"/>
        <w:ind w:left="640"/>
        <w:rPr>
          <w:rFonts w:eastAsia="方正黑体_GBK"/>
          <w:sz w:val="32"/>
        </w:rPr>
      </w:pPr>
      <w:r>
        <w:rPr>
          <w:rFonts w:eastAsia="方正黑体_GBK"/>
          <w:sz w:val="32"/>
        </w:rPr>
        <w:t>五、其他重要事项的情况说明</w:t>
      </w:r>
    </w:p>
    <w:p w14:paraId="6BEE0387">
      <w:pPr>
        <w:ind w:firstLine="640" w:firstLineChars="200"/>
        <w:rPr>
          <w:rFonts w:eastAsia="方正仿宋_GBK"/>
          <w:sz w:val="32"/>
        </w:rPr>
      </w:pPr>
      <w:r>
        <w:rPr>
          <w:rFonts w:eastAsia="方正楷体_GBK"/>
          <w:sz w:val="32"/>
          <w:szCs w:val="32"/>
        </w:rPr>
        <w:t>（一）</w:t>
      </w:r>
      <w:r>
        <w:rPr>
          <w:rFonts w:hint="eastAsia" w:eastAsia="方正仿宋_GBK"/>
          <w:b/>
          <w:sz w:val="32"/>
        </w:rPr>
        <w:t>本</w:t>
      </w:r>
      <w:r>
        <w:rPr>
          <w:rFonts w:eastAsia="方正仿宋_GBK"/>
          <w:b/>
          <w:sz w:val="32"/>
        </w:rPr>
        <w:t>单位不在机关运行经费统计范围之内</w:t>
      </w:r>
      <w:r>
        <w:rPr>
          <w:rFonts w:eastAsia="方正仿宋_GBK"/>
          <w:b/>
          <w:bCs/>
          <w:sz w:val="32"/>
        </w:rPr>
        <w:t>。</w:t>
      </w:r>
    </w:p>
    <w:p w14:paraId="61DEC5CB">
      <w:pPr>
        <w:ind w:firstLine="640" w:firstLineChars="200"/>
        <w:rPr>
          <w:rFonts w:eastAsia="方正仿宋_GBK"/>
          <w:b/>
          <w:sz w:val="32"/>
        </w:rPr>
      </w:pPr>
      <w:r>
        <w:rPr>
          <w:rFonts w:eastAsia="方正楷体_GBK"/>
          <w:sz w:val="32"/>
          <w:szCs w:val="32"/>
        </w:rPr>
        <w:t>（二）</w:t>
      </w:r>
      <w:r>
        <w:rPr>
          <w:rFonts w:eastAsia="方正仿宋_GBK"/>
          <w:b/>
          <w:sz w:val="32"/>
        </w:rPr>
        <w:t>政府采购情况。</w:t>
      </w:r>
    </w:p>
    <w:p w14:paraId="657A3B20">
      <w:pPr>
        <w:ind w:firstLine="640" w:firstLineChars="200"/>
        <w:rPr>
          <w:rFonts w:eastAsia="方正仿宋_GBK"/>
          <w:sz w:val="32"/>
        </w:rPr>
      </w:pPr>
      <w:r>
        <w:rPr>
          <w:rFonts w:hint="eastAsia" w:eastAsia="方正仿宋_GBK"/>
          <w:sz w:val="32"/>
        </w:rPr>
        <w:t>本</w:t>
      </w:r>
      <w:r>
        <w:rPr>
          <w:rFonts w:eastAsia="方正仿宋_GBK"/>
          <w:sz w:val="32"/>
        </w:rPr>
        <w:t>单位政府采购预算总额</w:t>
      </w:r>
      <w:r>
        <w:rPr>
          <w:rFonts w:hint="eastAsia" w:eastAsia="方正仿宋_GBK"/>
          <w:sz w:val="32"/>
        </w:rPr>
        <w:t>1.6</w:t>
      </w:r>
      <w:r>
        <w:rPr>
          <w:rFonts w:eastAsia="方正仿宋_GBK"/>
          <w:sz w:val="32"/>
        </w:rPr>
        <w:t xml:space="preserve">万元：政府采购货物预算  </w:t>
      </w:r>
      <w:r>
        <w:rPr>
          <w:rFonts w:hint="eastAsia" w:eastAsia="方正仿宋_GBK"/>
          <w:sz w:val="32"/>
        </w:rPr>
        <w:t>1.6</w:t>
      </w:r>
      <w:r>
        <w:rPr>
          <w:rFonts w:eastAsia="方正仿宋_GBK"/>
          <w:sz w:val="32"/>
        </w:rPr>
        <w:t>万元、政府采购工程预算0万元、政府采购服务预算0万元；其中一般公共预算拨款政府采购</w:t>
      </w:r>
      <w:r>
        <w:rPr>
          <w:rFonts w:hint="eastAsia" w:eastAsia="方正仿宋_GBK"/>
          <w:sz w:val="32"/>
        </w:rPr>
        <w:t>1.6</w:t>
      </w:r>
      <w:r>
        <w:rPr>
          <w:rFonts w:eastAsia="方正仿宋_GBK"/>
          <w:sz w:val="32"/>
        </w:rPr>
        <w:t>万元：政府采购货物预算</w:t>
      </w:r>
      <w:r>
        <w:rPr>
          <w:rFonts w:hint="eastAsia" w:eastAsia="方正仿宋_GBK"/>
          <w:sz w:val="32"/>
        </w:rPr>
        <w:t>1.6</w:t>
      </w:r>
      <w:r>
        <w:rPr>
          <w:rFonts w:eastAsia="方正仿宋_GBK"/>
          <w:sz w:val="32"/>
        </w:rPr>
        <w:t>万元、政府采购工程预算0万元、政府采购服务预算0万元。</w:t>
      </w:r>
    </w:p>
    <w:p w14:paraId="5AFD61AD">
      <w:pPr>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2026年项目支出均实行了绩效目标管理，涉及一般公共预算当年财政拨款</w:t>
      </w:r>
      <w:r>
        <w:rPr>
          <w:rFonts w:hint="eastAsia" w:eastAsia="方正仿宋_GBK"/>
          <w:color w:val="000000"/>
          <w:sz w:val="32"/>
        </w:rPr>
        <w:t>62.74</w:t>
      </w:r>
      <w:r>
        <w:rPr>
          <w:rFonts w:eastAsia="方正仿宋_GBK"/>
          <w:color w:val="000000"/>
          <w:sz w:val="32"/>
        </w:rPr>
        <w:t>万元。</w:t>
      </w:r>
    </w:p>
    <w:p w14:paraId="64410986">
      <w:pPr>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本</w:t>
      </w:r>
      <w:r>
        <w:rPr>
          <w:rFonts w:eastAsia="方正仿宋_GBK"/>
          <w:color w:val="000000"/>
          <w:sz w:val="32"/>
        </w:rPr>
        <w:t>单位共有车辆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辆。2026年一般公共预算安排购置车辆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w:t>
      </w:r>
    </w:p>
    <w:p w14:paraId="30837038">
      <w:pPr>
        <w:ind w:firstLine="640" w:firstLineChars="200"/>
        <w:rPr>
          <w:rFonts w:eastAsia="方正黑体_GBK"/>
          <w:sz w:val="32"/>
        </w:rPr>
      </w:pPr>
      <w:r>
        <w:rPr>
          <w:rFonts w:eastAsia="方正黑体_GBK"/>
          <w:sz w:val="32"/>
        </w:rPr>
        <w:t>六、专业性名词解释</w:t>
      </w:r>
    </w:p>
    <w:p w14:paraId="7D4AE79B">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2976ECA6">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6CFAB9EC">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11734BB9">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1D57E7F0">
      <w:pPr>
        <w:ind w:firstLine="640" w:firstLineChars="200"/>
        <w:rPr>
          <w:rFonts w:eastAsia="方正小标宋_GBK"/>
          <w:sz w:val="44"/>
          <w:szCs w:val="44"/>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EAC7F4D">
      <w:pPr>
        <w:spacing w:line="600" w:lineRule="exact"/>
        <w:ind w:firstLine="880" w:firstLineChars="200"/>
        <w:rPr>
          <w:rFonts w:eastAsia="方正小标宋_GBK"/>
          <w:sz w:val="44"/>
          <w:szCs w:val="44"/>
        </w:rPr>
      </w:pPr>
      <w:r>
        <w:rPr>
          <w:rFonts w:eastAsia="方正小标宋_GBK"/>
          <w:sz w:val="44"/>
          <w:szCs w:val="44"/>
        </w:rPr>
        <w:br w:type="page"/>
      </w:r>
      <w:r>
        <w:rPr>
          <w:rFonts w:eastAsia="方正小标宋_GBK"/>
          <w:sz w:val="44"/>
          <w:szCs w:val="44"/>
        </w:rPr>
        <w:t>第二部分：2026年部门预算公开报表</w:t>
      </w:r>
    </w:p>
    <w:p w14:paraId="5BDF1442">
      <w:pPr>
        <w:ind w:firstLine="640" w:firstLineChars="200"/>
        <w:rPr>
          <w:rFonts w:eastAsia="方正黑体_GBK"/>
          <w:sz w:val="32"/>
        </w:rPr>
      </w:pPr>
    </w:p>
    <w:p w14:paraId="4C0C4014">
      <w:pPr>
        <w:spacing w:line="594" w:lineRule="exact"/>
        <w:ind w:firstLine="640" w:firstLineChars="200"/>
        <w:rPr>
          <w:rFonts w:eastAsia="方正仿宋_GBK"/>
          <w:sz w:val="32"/>
          <w:szCs w:val="32"/>
        </w:rPr>
      </w:pPr>
      <w:r>
        <w:rPr>
          <w:rFonts w:eastAsia="方正仿宋_GBK"/>
          <w:sz w:val="32"/>
          <w:szCs w:val="32"/>
        </w:rPr>
        <w:t>2026年部门预算公开报表（详见附表</w:t>
      </w:r>
      <w:r>
        <w:rPr>
          <w:rFonts w:hint="eastAsia" w:eastAsia="方正仿宋_GBK"/>
          <w:sz w:val="32"/>
          <w:szCs w:val="32"/>
        </w:rPr>
        <w:t>重庆市开州区铁桥中心幼儿园</w:t>
      </w:r>
      <w:r>
        <w:rPr>
          <w:rFonts w:eastAsia="方正仿宋_GBK"/>
          <w:sz w:val="32"/>
          <w:szCs w:val="32"/>
        </w:rPr>
        <w:t>2026年部门预算公开报表）</w:t>
      </w:r>
    </w:p>
    <w:p w14:paraId="6100647B">
      <w:pPr>
        <w:spacing w:line="594" w:lineRule="exact"/>
        <w:ind w:firstLine="640" w:firstLineChars="200"/>
        <w:rPr>
          <w:rFonts w:eastAsia="方正仿宋_GBK"/>
          <w:sz w:val="32"/>
          <w:szCs w:val="32"/>
        </w:rPr>
      </w:pPr>
      <w:r>
        <w:rPr>
          <w:rFonts w:eastAsia="方正仿宋_GBK"/>
          <w:sz w:val="32"/>
          <w:szCs w:val="32"/>
        </w:rPr>
        <w:t>部门预算公开联系人：</w:t>
      </w:r>
      <w:r>
        <w:rPr>
          <w:rFonts w:hint="eastAsia" w:eastAsia="方正仿宋_GBK"/>
          <w:sz w:val="32"/>
          <w:szCs w:val="32"/>
        </w:rPr>
        <w:t>梅朝诚</w:t>
      </w:r>
      <w:r>
        <w:rPr>
          <w:rFonts w:eastAsia="方正仿宋_GBK"/>
          <w:sz w:val="32"/>
          <w:szCs w:val="32"/>
        </w:rPr>
        <w:t xml:space="preserve">  联系方式：023-</w:t>
      </w:r>
      <w:r>
        <w:rPr>
          <w:rFonts w:hint="eastAsia" w:eastAsia="方正仿宋_GBK"/>
          <w:sz w:val="32"/>
          <w:szCs w:val="32"/>
        </w:rPr>
        <w:t>52703168</w:t>
      </w:r>
    </w:p>
    <w:p w14:paraId="7B2E0AAC">
      <w:pPr>
        <w:spacing w:line="594" w:lineRule="exact"/>
        <w:ind w:firstLine="640" w:firstLineChars="200"/>
        <w:rPr>
          <w:rFonts w:eastAsia="方正仿宋_GBK"/>
          <w:sz w:val="32"/>
          <w:szCs w:val="32"/>
        </w:rPr>
      </w:pPr>
    </w:p>
    <w:p w14:paraId="3DED44B4">
      <w:pPr>
        <w:spacing w:line="594" w:lineRule="exact"/>
        <w:ind w:firstLine="640" w:firstLineChars="200"/>
        <w:rPr>
          <w:rFonts w:eastAsia="方正仿宋_GBK"/>
          <w:sz w:val="32"/>
          <w:szCs w:val="32"/>
        </w:rPr>
      </w:pPr>
    </w:p>
    <w:p w14:paraId="3627DB6D">
      <w:pPr>
        <w:spacing w:line="594" w:lineRule="exact"/>
        <w:ind w:firstLine="640" w:firstLineChars="200"/>
        <w:rPr>
          <w:rFonts w:eastAsia="方正仿宋_GBK"/>
          <w:sz w:val="32"/>
          <w:szCs w:val="32"/>
        </w:rPr>
      </w:pPr>
    </w:p>
    <w:p w14:paraId="116101DF">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重庆市开州区铁桥中心幼儿园</w:t>
      </w:r>
    </w:p>
    <w:p w14:paraId="61628431">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2026年3月1</w:t>
      </w:r>
      <w:r>
        <w:rPr>
          <w:rFonts w:hint="eastAsia" w:eastAsia="方正仿宋_GBK"/>
          <w:sz w:val="32"/>
          <w:szCs w:val="32"/>
          <w:lang w:val="en-US" w:eastAsia="zh-CN"/>
        </w:rPr>
        <w:t>1</w:t>
      </w:r>
      <w:r>
        <w:rPr>
          <w:rFonts w:eastAsia="方正仿宋_GBK"/>
          <w:sz w:val="32"/>
          <w:szCs w:val="32"/>
        </w:rPr>
        <w:t>日</w:t>
      </w:r>
    </w:p>
    <w:p w14:paraId="65BD1F1D">
      <w:pPr>
        <w:spacing w:line="594" w:lineRule="exact"/>
        <w:ind w:firstLine="640" w:firstLineChars="200"/>
        <w:rPr>
          <w:rFonts w:eastAsia="方正仿宋_GBK"/>
          <w:sz w:val="32"/>
          <w:szCs w:val="32"/>
        </w:rPr>
      </w:pPr>
      <w:r>
        <w:rPr>
          <w:rFonts w:eastAsia="方正仿宋_GBK"/>
          <w:sz w:val="32"/>
          <w:szCs w:val="32"/>
        </w:rPr>
        <w:t xml:space="preserve">                    </w:t>
      </w:r>
    </w:p>
    <w:p w14:paraId="25A6EBF2">
      <w:pPr>
        <w:spacing w:line="640" w:lineRule="exact"/>
        <w:jc w:val="center"/>
        <w:rPr>
          <w:rFonts w:eastAsia="方正仿宋_GBK"/>
          <w:sz w:val="32"/>
          <w:szCs w:val="32"/>
        </w:rPr>
      </w:pPr>
    </w:p>
    <w:p w14:paraId="20A29B69">
      <w:pPr>
        <w:spacing w:line="640" w:lineRule="exact"/>
        <w:jc w:val="center"/>
        <w:rPr>
          <w:rFonts w:eastAsia="方正仿宋_GBK"/>
          <w:sz w:val="32"/>
          <w:szCs w:val="32"/>
        </w:rPr>
      </w:pPr>
    </w:p>
    <w:p w14:paraId="45B530F0">
      <w:pPr>
        <w:spacing w:line="560" w:lineRule="exact"/>
        <w:jc w:val="center"/>
        <w:rPr>
          <w:rFonts w:eastAsia="方正仿宋_GBK"/>
          <w:sz w:val="32"/>
          <w:szCs w:val="32"/>
        </w:rPr>
      </w:pPr>
    </w:p>
    <w:p w14:paraId="474BF748">
      <w:pPr>
        <w:spacing w:line="640" w:lineRule="exact"/>
        <w:jc w:val="center"/>
        <w:rPr>
          <w:rFonts w:eastAsia="方正仿宋_GBK"/>
          <w:sz w:val="32"/>
          <w:szCs w:val="32"/>
        </w:rPr>
      </w:pPr>
    </w:p>
    <w:p w14:paraId="1EEBEF5C">
      <w:pPr>
        <w:tabs>
          <w:tab w:val="left" w:pos="1440"/>
        </w:tabs>
        <w:spacing w:line="640" w:lineRule="exact"/>
        <w:rPr>
          <w:rFonts w:eastAsia="方正仿宋_GBK"/>
          <w:sz w:val="32"/>
          <w:szCs w:val="32"/>
        </w:rPr>
      </w:pPr>
      <w:r>
        <w:rPr>
          <w:rFonts w:eastAsia="方正仿宋_GBK"/>
          <w:sz w:val="32"/>
          <w:szCs w:val="32"/>
        </w:rPr>
        <w:tab/>
      </w:r>
    </w:p>
    <w:p w14:paraId="28A95DAB">
      <w:pPr>
        <w:tabs>
          <w:tab w:val="left" w:pos="1440"/>
        </w:tabs>
        <w:spacing w:line="640" w:lineRule="exact"/>
        <w:rPr>
          <w:rFonts w:eastAsia="方正仿宋_GBK"/>
          <w:sz w:val="32"/>
          <w:szCs w:val="32"/>
        </w:rPr>
      </w:pPr>
    </w:p>
    <w:p w14:paraId="0EDBE447">
      <w:pPr>
        <w:overflowPunct w:val="0"/>
        <w:spacing w:line="480" w:lineRule="exact"/>
        <w:jc w:val="left"/>
        <w:rPr>
          <w:rFonts w:eastAsia="方正仿宋_GBK"/>
          <w:sz w:val="32"/>
          <w:szCs w:val="32"/>
        </w:rPr>
      </w:pPr>
    </w:p>
    <w:p w14:paraId="31648AC4">
      <w:pPr>
        <w:overflowPunct w:val="0"/>
        <w:spacing w:line="480" w:lineRule="exact"/>
        <w:jc w:val="left"/>
        <w:rPr>
          <w:rFonts w:eastAsia="方正仿宋_GBK"/>
          <w:sz w:val="32"/>
          <w:szCs w:val="32"/>
        </w:rPr>
      </w:pPr>
    </w:p>
    <w:p w14:paraId="054CB926">
      <w:pPr>
        <w:overflowPunct w:val="0"/>
        <w:spacing w:line="480" w:lineRule="exact"/>
        <w:jc w:val="left"/>
        <w:rPr>
          <w:rFonts w:eastAsia="方正仿宋_GBK"/>
          <w:sz w:val="32"/>
          <w:szCs w:val="32"/>
        </w:rPr>
      </w:pPr>
    </w:p>
    <w:p w14:paraId="4F5824B4">
      <w:pPr>
        <w:overflowPunct w:val="0"/>
        <w:spacing w:line="480" w:lineRule="exact"/>
        <w:jc w:val="left"/>
        <w:rPr>
          <w:rFonts w:eastAsia="方正仿宋_GBK"/>
          <w:sz w:val="32"/>
          <w:szCs w:val="32"/>
        </w:rPr>
      </w:pPr>
    </w:p>
    <w:p w14:paraId="45461867">
      <w:pPr>
        <w:overflowPunct w:val="0"/>
        <w:spacing w:line="480" w:lineRule="exact"/>
        <w:jc w:val="left"/>
        <w:rPr>
          <w:rFonts w:eastAsia="方正仿宋_GBK"/>
          <w:sz w:val="32"/>
          <w:szCs w:val="32"/>
        </w:rPr>
      </w:pPr>
    </w:p>
    <w:p w14:paraId="0407F87B">
      <w:pPr>
        <w:overflowPunct w:val="0"/>
        <w:spacing w:line="480" w:lineRule="exact"/>
        <w:jc w:val="left"/>
        <w:rPr>
          <w:rFonts w:eastAsia="方正仿宋_GBK"/>
          <w:sz w:val="32"/>
          <w:szCs w:val="32"/>
        </w:rPr>
      </w:pPr>
    </w:p>
    <w:p w14:paraId="79A644A8">
      <w:pPr>
        <w:overflowPunct w:val="0"/>
        <w:spacing w:line="480" w:lineRule="exact"/>
        <w:jc w:val="left"/>
        <w:rPr>
          <w:rFonts w:eastAsia="方正仿宋_GBK"/>
          <w:sz w:val="32"/>
          <w:szCs w:val="32"/>
        </w:rPr>
      </w:pPr>
      <w:r>
        <w:rPr>
          <w:rFonts w:hint="eastAsia" w:eastAsia="方正仿宋_GBK"/>
          <w:sz w:val="32"/>
          <w:szCs w:val="32"/>
        </w:rPr>
        <w:t>重庆市开州区铁桥中心幼儿园</w:t>
      </w:r>
      <w:r>
        <mc:AlternateContent>
          <mc:Choice Requires="wps">
            <w:drawing>
              <wp:anchor distT="0" distB="0" distL="114300" distR="114300" simplePos="0" relativeHeight="251659264" behindDoc="0" locked="0" layoutInCell="1" allowOverlap="1">
                <wp:simplePos x="0" y="0"/>
                <wp:positionH relativeFrom="margin">
                  <wp:posOffset>-252095</wp:posOffset>
                </wp:positionH>
                <wp:positionV relativeFrom="paragraph">
                  <wp:posOffset>343535</wp:posOffset>
                </wp:positionV>
                <wp:extent cx="588010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8801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9.85pt;margin-top:27.05pt;height:0pt;width:463pt;mso-position-horizontal-relative:margin;z-index:251659264;mso-width-relative:page;mso-height-relative:page;" filled="f" stroked="t" coordsize="21600,21600" o:gfxdata="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aKLcdcA&#10;AAAJAQAADwAAAAAAAAABACAAAAAiAAAAZHJzL2Rvd25yZXYueG1sUEsBAhQAFAAAAAgAh07iQEcW&#10;ZtznAQAAuAMAAA4AAAAAAAAAAQAgAAAAJg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-239395</wp:posOffset>
                </wp:positionH>
                <wp:positionV relativeFrom="paragraph">
                  <wp:posOffset>30480</wp:posOffset>
                </wp:positionV>
                <wp:extent cx="5870575" cy="8255"/>
                <wp:effectExtent l="0" t="4445" r="9525" b="63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870575" cy="825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8.85pt;margin-top:2.4pt;height:0.65pt;width:462.25pt;mso-position-horizontal-relative:margin;z-index:251660288;mso-width-relative:page;mso-height-relative:page;" filled="f" stroked="t" coordsize="21600,21600" o:gfxdata="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61K0LWAAAABwEAAA8AAAAAAAAAAQAgAAAAIgAAAGRycy9kb3ducmV2LnhtbFBLAQIUABQA&#10;AAAIAIdO4kCM93Mi8gEAAMUDAAAOAAAAAAAAAAEAIAAAACUBAABkcnMvZTJvRG9jLnhtbFBLBQYA&#10;AAAABgAGAFkBAACJBQAAAAA=&#10;">
                <v:fill on="f" focussize="0,0"/>
                <v:stroke color="#000000" joinstyle="round"/>
                <v:imagedata o:title=""/>
                <o:lock v:ext="edit" aspectratio="f"/>
              </v:line>
            </w:pict>
          </mc:Fallback>
        </mc:AlternateContent>
      </w:r>
      <w:r>
        <w:rPr>
          <w:rFonts w:hint="eastAsia" w:eastAsia="方正仿宋_GBK"/>
          <w:kern w:val="0"/>
          <w:sz w:val="28"/>
          <w:szCs w:val="28"/>
        </w:rPr>
        <w:t xml:space="preserve">      </w:t>
      </w:r>
      <w:r>
        <w:rPr>
          <w:rFonts w:eastAsia="方正仿宋_GBK"/>
          <w:kern w:val="0"/>
          <w:sz w:val="28"/>
          <w:szCs w:val="28"/>
        </w:rPr>
        <w:t>　   2026年3月1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sectPr>
      <w:footerReference r:id="rId5" w:type="first"/>
      <w:footerReference r:id="rId3" w:type="default"/>
      <w:footerReference r:id="rId4" w:type="even"/>
      <w:pgSz w:w="11906" w:h="16838"/>
      <w:pgMar w:top="1440" w:right="1800" w:bottom="1440" w:left="1800"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2AADC">
    <w:pPr>
      <w:pStyle w:val="3"/>
      <w:tabs>
        <w:tab w:val="left" w:pos="933"/>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8330C">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2C8330C">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C641F">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3299F">
                          <w:pPr>
                            <w:pStyle w:val="3"/>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8</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DD3299F">
                    <w:pPr>
                      <w:pStyle w:val="3"/>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8</w:t>
                    </w:r>
                    <w:r>
                      <w:rPr>
                        <w:sz w:val="28"/>
                        <w:szCs w:val="44"/>
                      </w:rPr>
                      <w:fldChar w:fldCharType="end"/>
                    </w:r>
                    <w:r>
                      <w:rPr>
                        <w:sz w:val="28"/>
                        <w:szCs w:val="4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C7719">
    <w:pPr>
      <w:pStyle w:val="3"/>
    </w:pP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3325F">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D73325F">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DEC6E7"/>
    <w:multiLevelType w:val="singleLevel"/>
    <w:tmpl w:val="63DEC6E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F5E"/>
    <w:rsid w:val="00457BF2"/>
    <w:rsid w:val="00795829"/>
    <w:rsid w:val="009C438F"/>
    <w:rsid w:val="00A272D4"/>
    <w:rsid w:val="00C111C7"/>
    <w:rsid w:val="00C30F5E"/>
    <w:rsid w:val="00CC5326"/>
    <w:rsid w:val="05DE3200"/>
    <w:rsid w:val="26D46B1D"/>
    <w:rsid w:val="27E256FE"/>
    <w:rsid w:val="2E602330"/>
    <w:rsid w:val="37633337"/>
    <w:rsid w:val="3799691B"/>
    <w:rsid w:val="44740C77"/>
    <w:rsid w:val="5600704B"/>
    <w:rsid w:val="78260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uiPriority w:val="0"/>
    <w:pPr>
      <w:widowControl w:val="0"/>
      <w:ind w:firstLine="640" w:firstLineChars="200"/>
      <w:jc w:val="both"/>
    </w:pPr>
    <w:rPr>
      <w:rFonts w:ascii="仿宋_GB2312" w:hAnsi="Times New Roman" w:eastAsia="仿宋_GB2312" w:cs="Times New Roman"/>
      <w:kern w:val="2"/>
      <w:sz w:val="32"/>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2142</Words>
  <Characters>2354</Characters>
  <Lines>18</Lines>
  <Paragraphs>5</Paragraphs>
  <TotalTime>113</TotalTime>
  <ScaleCrop>false</ScaleCrop>
  <LinksUpToDate>false</LinksUpToDate>
  <CharactersWithSpaces>2497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2026-02-05T09:01:00Z</dcterms:created>
  <dc:creator>ASUS</dc:creator>
  <cp:lastModifiedBy>伍崇兴</cp:lastModifiedBy>
  <dcterms:modified xsi:type="dcterms:W3CDTF">2026-03-12T02:55:17Z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eyJoZGlkIjoiN2I3NjVkZWVjYWQ0Y2NjNTM1YzU3YjRjMWY5MDRjNDIiLCJ1c2VySWQiOiIxNjc3ODQxMDQxIn0=</vt:lpwstr>
  </property>
  <property fmtid="{D5CDD505-2E9C-101B-9397-08002B2CF9AE}" pid="4" name="ICV">
    <vt:lpwstr>E049482626EA43F1B73626457AF5C8DD_12</vt:lpwstr>
  </property>
</Properties>
</file>