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nts/font8.odttf" ContentType="application/vnd.openxmlformats-officedocument.obfuscatedFont"/>
  <Override PartName="/word/fonts/font9.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EFB7C83">
      <w:pPr>
        <w:jc w:val="center"/>
        <w:rPr>
          <w:rFonts w:eastAsia="黑体"/>
          <w:sz w:val="36"/>
        </w:rPr>
      </w:pPr>
    </w:p>
    <w:p w14:paraId="52E78690">
      <w:pPr>
        <w:spacing w:line="400" w:lineRule="exact"/>
        <w:jc w:val="center"/>
        <w:rPr>
          <w:rFonts w:eastAsia="黑体"/>
          <w:sz w:val="36"/>
        </w:rPr>
      </w:pPr>
    </w:p>
    <w:p w14:paraId="41B88DED">
      <w:pPr>
        <w:tabs>
          <w:tab w:val="left" w:pos="360"/>
          <w:tab w:val="left" w:pos="8460"/>
        </w:tabs>
        <w:overflowPunct w:val="0"/>
        <w:spacing w:line="1200" w:lineRule="exact"/>
        <w:jc w:val="center"/>
        <w:textAlignment w:val="center"/>
        <w:rPr>
          <w:rFonts w:eastAsia="方正小标宋简体"/>
          <w:w w:val="80"/>
        </w:rPr>
      </w:pPr>
      <w:r>
        <w:rPr>
          <w:rFonts w:ascii="Calibri" w:hAnsi="Calibri" w:eastAsia="方正小标宋_GBK" w:cs="Times New Roman"/>
          <w:b/>
          <w:bCs/>
          <w:color w:val="FF0000"/>
          <w:spacing w:val="80"/>
          <w:w w:val="40"/>
          <w:sz w:val="120"/>
          <w:szCs w:val="120"/>
        </w:rPr>
        <w:t>重庆市开州区</w:t>
      </w:r>
      <w:r>
        <w:rPr>
          <w:rFonts w:hint="eastAsia" w:ascii="Calibri" w:hAnsi="Calibri" w:eastAsia="方正小标宋_GBK" w:cs="Times New Roman"/>
          <w:b/>
          <w:bCs/>
          <w:color w:val="FF0000"/>
          <w:spacing w:val="80"/>
          <w:w w:val="40"/>
          <w:sz w:val="120"/>
          <w:szCs w:val="120"/>
        </w:rPr>
        <w:t>关面乡中心小学</w:t>
      </w:r>
    </w:p>
    <w:p w14:paraId="713DAED8">
      <w:pPr>
        <w:spacing w:line="400" w:lineRule="exact"/>
        <w:jc w:val="center"/>
        <w:rPr>
          <w:rFonts w:eastAsia="黑体"/>
          <w:sz w:val="36"/>
        </w:rPr>
      </w:pPr>
    </w:p>
    <w:p w14:paraId="618861F5">
      <w:pPr>
        <w:spacing w:line="100" w:lineRule="exact"/>
        <w:jc w:val="center"/>
        <w:rPr>
          <w:rFonts w:eastAsia="黑体"/>
          <w:sz w:val="36"/>
        </w:rPr>
      </w:pPr>
    </w:p>
    <w:p w14:paraId="4389C067">
      <w:pPr>
        <w:spacing w:line="600" w:lineRule="exact"/>
        <w:jc w:val="center"/>
        <w:rPr>
          <w:rFonts w:ascii="Times New Roman" w:hAnsi="Times New Roman" w:eastAsia="方正仿宋_GBK" w:cs="Times New Roman"/>
          <w:sz w:val="32"/>
          <w:szCs w:val="32"/>
        </w:rPr>
      </w:pPr>
      <w:r>
        <w:rPr>
          <w:rFonts w:ascii="Times New Roman" w:hAnsi="Times New Roman" w:eastAsia="方正仿宋_GBK" w:cs="Times New Roman"/>
          <w:sz w:val="32"/>
        </w:rPr>
        <w:t>开州</w:t>
      </w:r>
      <w:r>
        <w:rPr>
          <w:rFonts w:hint="eastAsia" w:ascii="Times New Roman" w:hAnsi="Times New Roman" w:eastAsia="方正仿宋_GBK" w:cs="Times New Roman"/>
          <w:sz w:val="32"/>
        </w:rPr>
        <w:t>关小</w:t>
      </w:r>
      <w:r>
        <w:rPr>
          <w:rFonts w:ascii="Times New Roman" w:hAnsi="Times New Roman" w:eastAsia="方正仿宋_GBK" w:cs="Times New Roman"/>
          <w:color w:val="000000"/>
          <w:sz w:val="32"/>
          <w:szCs w:val="32"/>
        </w:rPr>
        <w:t>〔2026〕</w:t>
      </w:r>
      <w:r>
        <w:rPr>
          <w:rFonts w:hint="eastAsia" w:ascii="Times New Roman" w:hAnsi="Times New Roman" w:eastAsia="方正仿宋_GBK" w:cs="Times New Roman"/>
          <w:sz w:val="32"/>
          <w:szCs w:val="32"/>
        </w:rPr>
        <w:t>001</w:t>
      </w:r>
      <w:r>
        <w:rPr>
          <w:rFonts w:ascii="Times New Roman" w:hAnsi="Times New Roman" w:eastAsia="方正仿宋_GBK" w:cs="Times New Roman"/>
          <w:sz w:val="32"/>
        </w:rPr>
        <w:t>号              签发人：</w:t>
      </w:r>
      <w:r>
        <w:rPr>
          <w:rFonts w:hint="eastAsia" w:ascii="Times New Roman" w:hAnsi="Times New Roman" w:eastAsia="方正楷体_GBK" w:cs="Times New Roman"/>
          <w:sz w:val="32"/>
        </w:rPr>
        <w:t>廖清</w:t>
      </w:r>
    </w:p>
    <w:p w14:paraId="2A580537">
      <w:pPr>
        <w:spacing w:line="300" w:lineRule="exact"/>
        <w:rPr>
          <w:rFonts w:eastAsia="方正小标宋简体"/>
          <w:sz w:val="42"/>
          <w:szCs w:val="44"/>
          <w:u w:val="thick" w:color="FF0000"/>
        </w:rPr>
      </w:pPr>
      <w:r>
        <w:rPr>
          <w:rFonts w:eastAsia="方正小标宋简体"/>
          <w:sz w:val="42"/>
          <w:szCs w:val="44"/>
          <w:u w:val="thick" w:color="FF0000"/>
        </w:rPr>
        <w:t xml:space="preserve">                                         </w:t>
      </w:r>
    </w:p>
    <w:p w14:paraId="439617CD">
      <w:pPr>
        <w:spacing w:line="600" w:lineRule="exact"/>
        <w:jc w:val="center"/>
        <w:rPr>
          <w:rFonts w:eastAsia="方正小标宋简体"/>
          <w:sz w:val="44"/>
          <w:szCs w:val="44"/>
        </w:rPr>
      </w:pPr>
    </w:p>
    <w:p w14:paraId="44A4111A"/>
    <w:p w14:paraId="426A4DC5">
      <w:pPr>
        <w:pStyle w:val="3"/>
        <w:spacing w:line="620" w:lineRule="exact"/>
        <w:ind w:firstLine="0" w:firstLineChars="0"/>
        <w:jc w:val="center"/>
        <w:rPr>
          <w:rFonts w:ascii="Times New Roman" w:hAnsi="Times New Roman" w:eastAsia="方正小标宋_GBK" w:cs="Times New Roman"/>
          <w:szCs w:val="32"/>
        </w:rPr>
      </w:pPr>
      <w:r>
        <w:rPr>
          <w:rFonts w:ascii="Times New Roman" w:hAnsi="Times New Roman" w:eastAsia="方正小标宋_GBK" w:cs="Times New Roman"/>
          <w:color w:val="000000"/>
          <w:sz w:val="44"/>
          <w:szCs w:val="44"/>
        </w:rPr>
        <w:t>重庆市开州区</w:t>
      </w:r>
      <w:r>
        <w:rPr>
          <w:rFonts w:hint="eastAsia" w:ascii="Times New Roman" w:hAnsi="Times New Roman" w:eastAsia="方正小标宋_GBK" w:cs="Times New Roman"/>
          <w:color w:val="000000"/>
          <w:sz w:val="44"/>
          <w:szCs w:val="44"/>
        </w:rPr>
        <w:t>关面乡中心小学</w:t>
      </w:r>
    </w:p>
    <w:p w14:paraId="5C7426AE">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关于2026年部门预算情况公开的公示</w:t>
      </w:r>
    </w:p>
    <w:p w14:paraId="621BBD2B">
      <w:pPr>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按照有关财政预算公开的部署和要求，依据《中华人民共和国政府信息公开条例》（国务院令第492号）和重庆市开州区财政局《关于批复2026年部门预算的通知》（</w:t>
      </w:r>
      <w:r>
        <w:rPr>
          <w:rFonts w:eastAsia="方正仿宋_GBK"/>
          <w:sz w:val="32"/>
          <w:szCs w:val="32"/>
        </w:rPr>
        <w:t>开</w:t>
      </w:r>
      <w:r>
        <w:rPr>
          <w:rFonts w:hint="eastAsia" w:eastAsia="方正仿宋_GBK"/>
          <w:sz w:val="32"/>
          <w:szCs w:val="32"/>
        </w:rPr>
        <w:t>州</w:t>
      </w:r>
      <w:r>
        <w:rPr>
          <w:rFonts w:eastAsia="方正仿宋_GBK"/>
          <w:sz w:val="32"/>
          <w:szCs w:val="32"/>
        </w:rPr>
        <w:t>财</w:t>
      </w:r>
      <w:r>
        <w:rPr>
          <w:rFonts w:hint="eastAsia" w:eastAsia="方正仿宋_GBK"/>
          <w:sz w:val="32"/>
          <w:szCs w:val="32"/>
        </w:rPr>
        <w:t>教发</w:t>
      </w:r>
      <w:r>
        <w:rPr>
          <w:rFonts w:eastAsia="方正仿宋_GBK"/>
          <w:sz w:val="32"/>
          <w:szCs w:val="32"/>
        </w:rPr>
        <w:t>〔</w:t>
      </w:r>
      <w:r>
        <w:rPr>
          <w:rFonts w:ascii="Times New Roman" w:hAnsi="Times New Roman" w:eastAsia="方正仿宋_GBK" w:cs="Times New Roman"/>
          <w:sz w:val="32"/>
          <w:szCs w:val="32"/>
        </w:rPr>
        <w:t>2026〕6</w:t>
      </w:r>
      <w:r>
        <w:rPr>
          <w:rFonts w:eastAsia="方正仿宋_GBK"/>
          <w:sz w:val="32"/>
          <w:szCs w:val="32"/>
        </w:rPr>
        <w:t>号</w:t>
      </w:r>
      <w:r>
        <w:rPr>
          <w:rFonts w:ascii="Times New Roman" w:hAnsi="Times New Roman" w:eastAsia="方正仿宋_GBK" w:cs="Times New Roman"/>
          <w:sz w:val="32"/>
          <w:szCs w:val="32"/>
        </w:rPr>
        <w:t>）,现将</w:t>
      </w:r>
      <w:r>
        <w:rPr>
          <w:rFonts w:hint="eastAsia" w:ascii="Times New Roman" w:hAnsi="Times New Roman" w:eastAsia="方正仿宋_GBK" w:cs="Times New Roman"/>
          <w:sz w:val="32"/>
          <w:szCs w:val="32"/>
        </w:rPr>
        <w:t>重庆市开州区关面乡中心小学</w:t>
      </w:r>
      <w:r>
        <w:rPr>
          <w:rFonts w:ascii="Times New Roman" w:hAnsi="Times New Roman" w:eastAsia="方正仿宋_GBK" w:cs="Times New Roman"/>
          <w:sz w:val="32"/>
          <w:szCs w:val="32"/>
        </w:rPr>
        <w:t>2026年部门预算批复情况公开如下：</w:t>
      </w:r>
    </w:p>
    <w:p w14:paraId="3CABCE6E">
      <w:pPr>
        <w:rPr>
          <w:rFonts w:ascii="Times New Roman" w:hAnsi="Times New Roman" w:eastAsia="方正小标宋_GBK" w:cs="Times New Roman"/>
          <w:sz w:val="44"/>
          <w:szCs w:val="44"/>
        </w:rPr>
      </w:pPr>
    </w:p>
    <w:p w14:paraId="423803B6">
      <w:pPr>
        <w:jc w:val="center"/>
        <w:rPr>
          <w:rFonts w:ascii="Times New Roman" w:hAnsi="Times New Roman" w:eastAsia="方正小标宋_GBK" w:cs="Times New Roman"/>
          <w:sz w:val="44"/>
          <w:szCs w:val="44"/>
        </w:rPr>
      </w:pPr>
    </w:p>
    <w:p w14:paraId="01EBEC1B">
      <w:pPr>
        <w:pStyle w:val="2"/>
      </w:pPr>
    </w:p>
    <w:p w14:paraId="719B3F12">
      <w:pPr>
        <w:jc w:val="center"/>
        <w:rPr>
          <w:rFonts w:ascii="Times New Roman" w:hAnsi="Times New Roman" w:eastAsia="方正小标宋_GBK" w:cs="Times New Roman"/>
          <w:sz w:val="44"/>
          <w:szCs w:val="44"/>
        </w:rPr>
      </w:pPr>
    </w:p>
    <w:p w14:paraId="7F201084">
      <w:pPr>
        <w:jc w:val="center"/>
        <w:rPr>
          <w:rFonts w:ascii="Times New Roman" w:hAnsi="Times New Roman" w:eastAsia="方正小标宋_GBK" w:cs="Times New Roman"/>
          <w:sz w:val="44"/>
          <w:szCs w:val="44"/>
        </w:rPr>
      </w:pPr>
    </w:p>
    <w:p w14:paraId="7C1364E5">
      <w:pPr>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目    录</w:t>
      </w:r>
    </w:p>
    <w:p w14:paraId="56C51B6F">
      <w:pPr>
        <w:rPr>
          <w:rFonts w:ascii="Times New Roman" w:hAnsi="Times New Roman" w:cs="Times New Roman"/>
        </w:rPr>
      </w:pPr>
    </w:p>
    <w:p w14:paraId="5C0FA323">
      <w:pPr>
        <w:jc w:val="center"/>
        <w:rPr>
          <w:rFonts w:ascii="Times New Roman" w:hAnsi="Times New Roman" w:eastAsia="方正楷体_GBK" w:cs="Times New Roman"/>
          <w:sz w:val="32"/>
          <w:szCs w:val="32"/>
        </w:rPr>
      </w:pPr>
      <w:r>
        <w:rPr>
          <w:rFonts w:ascii="Times New Roman" w:hAnsi="Times New Roman" w:eastAsia="方正楷体_GBK" w:cs="Times New Roman"/>
          <w:sz w:val="32"/>
          <w:szCs w:val="32"/>
        </w:rPr>
        <w:t>第一部分：2026年部门预算情况说明</w:t>
      </w:r>
    </w:p>
    <w:p w14:paraId="6C8CBCAE">
      <w:pPr>
        <w:rPr>
          <w:rFonts w:ascii="Times New Roman" w:hAnsi="Times New Roman" w:cs="Times New Roman"/>
        </w:rPr>
      </w:pPr>
    </w:p>
    <w:p w14:paraId="2B14DFF4">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一、单位基本情况</w:t>
      </w:r>
    </w:p>
    <w:p w14:paraId="47942427">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二、部门收支总体情况</w:t>
      </w:r>
    </w:p>
    <w:p w14:paraId="6AA59A40">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三、部门预算情况说明</w:t>
      </w:r>
    </w:p>
    <w:p w14:paraId="427B6559">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四、“三公”经费情况说明</w:t>
      </w:r>
    </w:p>
    <w:p w14:paraId="10A82C26">
      <w:pPr>
        <w:spacing w:line="60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五、其他重要事项的情况说明</w:t>
      </w:r>
    </w:p>
    <w:p w14:paraId="1478CF2D">
      <w:pPr>
        <w:rPr>
          <w:rFonts w:ascii="Times New Roman" w:hAnsi="Times New Roman" w:eastAsia="方正仿宋_GBK" w:cs="Times New Roman"/>
          <w:sz w:val="32"/>
          <w:szCs w:val="32"/>
        </w:rPr>
      </w:pPr>
      <w:r>
        <w:rPr>
          <w:rFonts w:ascii="Times New Roman" w:hAnsi="Times New Roman" w:eastAsia="方正仿宋_GBK" w:cs="Times New Roman"/>
          <w:sz w:val="32"/>
          <w:szCs w:val="32"/>
        </w:rPr>
        <w:t>六、专业性名词解释</w:t>
      </w:r>
    </w:p>
    <w:p w14:paraId="121260E6">
      <w:pPr>
        <w:jc w:val="center"/>
        <w:rPr>
          <w:rFonts w:ascii="Times New Roman" w:hAnsi="Times New Roman" w:cs="Times New Roman"/>
        </w:rPr>
      </w:pPr>
      <w:r>
        <w:rPr>
          <w:rFonts w:ascii="Times New Roman" w:hAnsi="Times New Roman" w:eastAsia="方正楷体_GBK" w:cs="Times New Roman"/>
          <w:sz w:val="32"/>
          <w:szCs w:val="32"/>
        </w:rPr>
        <w:t>第二部分：2026年部门预算公开报表</w:t>
      </w:r>
    </w:p>
    <w:p w14:paraId="3C7F04B5">
      <w:pPr>
        <w:rPr>
          <w:rFonts w:ascii="Times New Roman" w:hAnsi="Times New Roman" w:cs="Times New Roman"/>
        </w:rPr>
      </w:pPr>
    </w:p>
    <w:p w14:paraId="0D4AB59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w:t>
      </w:r>
      <w:r>
        <w:rPr>
          <w:rFonts w:hint="eastAsia" w:ascii="Times New Roman" w:hAnsi="Times New Roman" w:eastAsia="方正仿宋_GBK" w:cs="Times New Roman"/>
          <w:sz w:val="32"/>
          <w:szCs w:val="32"/>
        </w:rPr>
        <w:t>重庆市开州区关面乡中心小学</w:t>
      </w:r>
      <w:r>
        <w:rPr>
          <w:rFonts w:ascii="Times New Roman" w:hAnsi="Times New Roman" w:eastAsia="方正仿宋_GBK" w:cs="Times New Roman"/>
          <w:sz w:val="32"/>
          <w:szCs w:val="32"/>
        </w:rPr>
        <w:t>收支预算总表</w:t>
      </w:r>
    </w:p>
    <w:p w14:paraId="572D3AD6">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表2、</w:t>
      </w:r>
      <w:r>
        <w:rPr>
          <w:rFonts w:hint="eastAsia" w:ascii="Times New Roman" w:hAnsi="Times New Roman" w:eastAsia="方正仿宋_GBK" w:cs="Times New Roman"/>
          <w:sz w:val="32"/>
          <w:szCs w:val="32"/>
        </w:rPr>
        <w:t>重庆市开州区关面乡中心小学</w:t>
      </w:r>
      <w:r>
        <w:rPr>
          <w:rFonts w:ascii="Times New Roman" w:hAnsi="Times New Roman" w:eastAsia="方正仿宋_GBK" w:cs="Times New Roman"/>
          <w:sz w:val="32"/>
          <w:szCs w:val="32"/>
        </w:rPr>
        <w:t>收入总表</w:t>
      </w:r>
    </w:p>
    <w:p w14:paraId="2C70CDFE">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表3、</w:t>
      </w:r>
      <w:r>
        <w:rPr>
          <w:rFonts w:hint="eastAsia" w:ascii="Times New Roman" w:hAnsi="Times New Roman" w:eastAsia="方正仿宋_GBK" w:cs="Times New Roman"/>
          <w:sz w:val="32"/>
          <w:szCs w:val="32"/>
        </w:rPr>
        <w:t>重庆市开州区关面乡中心小学</w:t>
      </w:r>
      <w:r>
        <w:rPr>
          <w:rFonts w:ascii="Times New Roman" w:hAnsi="Times New Roman" w:eastAsia="方正仿宋_GBK" w:cs="Times New Roman"/>
          <w:sz w:val="32"/>
          <w:szCs w:val="32"/>
        </w:rPr>
        <w:t>本年支出预算总表</w:t>
      </w:r>
    </w:p>
    <w:p w14:paraId="1898B7F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表4、</w:t>
      </w:r>
      <w:r>
        <w:rPr>
          <w:rFonts w:hint="eastAsia" w:ascii="Times New Roman" w:hAnsi="Times New Roman" w:eastAsia="方正仿宋_GBK" w:cs="Times New Roman"/>
          <w:sz w:val="32"/>
          <w:szCs w:val="32"/>
        </w:rPr>
        <w:t>重庆市开州区关面乡中心小学</w:t>
      </w:r>
      <w:r>
        <w:rPr>
          <w:rFonts w:ascii="Times New Roman" w:hAnsi="Times New Roman" w:eastAsia="方正仿宋_GBK" w:cs="Times New Roman"/>
          <w:sz w:val="32"/>
          <w:szCs w:val="32"/>
        </w:rPr>
        <w:t>财政拨款收支预算总表</w:t>
      </w:r>
    </w:p>
    <w:p w14:paraId="4DD1AD3D">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表5、</w:t>
      </w:r>
      <w:r>
        <w:rPr>
          <w:rFonts w:hint="eastAsia" w:ascii="Times New Roman" w:hAnsi="Times New Roman" w:eastAsia="方正仿宋_GBK" w:cs="Times New Roman"/>
          <w:sz w:val="32"/>
          <w:szCs w:val="32"/>
        </w:rPr>
        <w:t>重庆市开州区关面乡中心小学</w:t>
      </w:r>
      <w:r>
        <w:rPr>
          <w:rFonts w:ascii="Times New Roman" w:hAnsi="Times New Roman" w:eastAsia="方正仿宋_GBK" w:cs="Times New Roman"/>
          <w:sz w:val="32"/>
          <w:szCs w:val="32"/>
        </w:rPr>
        <w:t>本年一般公共预算支出预算表</w:t>
      </w:r>
    </w:p>
    <w:p w14:paraId="6E2DC6EC">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表6、</w:t>
      </w:r>
      <w:r>
        <w:rPr>
          <w:rFonts w:hint="eastAsia" w:ascii="Times New Roman" w:hAnsi="Times New Roman" w:eastAsia="方正仿宋_GBK" w:cs="Times New Roman"/>
          <w:sz w:val="32"/>
          <w:szCs w:val="32"/>
        </w:rPr>
        <w:t>重庆市开州区关面乡中心小学</w:t>
      </w:r>
      <w:r>
        <w:rPr>
          <w:rFonts w:ascii="Times New Roman" w:hAnsi="Times New Roman" w:eastAsia="方正仿宋_GBK" w:cs="Times New Roman"/>
          <w:sz w:val="32"/>
          <w:szCs w:val="32"/>
        </w:rPr>
        <w:t>一般公共预算基本支出预算表</w:t>
      </w:r>
    </w:p>
    <w:p w14:paraId="4F28D580">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表7、</w:t>
      </w:r>
      <w:r>
        <w:rPr>
          <w:rFonts w:hint="eastAsia" w:ascii="Times New Roman" w:hAnsi="Times New Roman" w:eastAsia="方正仿宋_GBK" w:cs="Times New Roman"/>
          <w:sz w:val="32"/>
          <w:szCs w:val="32"/>
        </w:rPr>
        <w:t>重庆市开州区关面乡中心小学</w:t>
      </w:r>
      <w:r>
        <w:rPr>
          <w:rFonts w:ascii="Times New Roman" w:hAnsi="Times New Roman" w:eastAsia="方正仿宋_GBK" w:cs="Times New Roman"/>
          <w:sz w:val="32"/>
          <w:szCs w:val="32"/>
        </w:rPr>
        <w:t>一般公共预算“三公”经费支出预算表</w:t>
      </w:r>
    </w:p>
    <w:p w14:paraId="0A53A53F">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表8、</w:t>
      </w:r>
      <w:r>
        <w:rPr>
          <w:rFonts w:hint="eastAsia" w:ascii="Times New Roman" w:hAnsi="Times New Roman" w:eastAsia="方正仿宋_GBK" w:cs="Times New Roman"/>
          <w:sz w:val="32"/>
          <w:szCs w:val="32"/>
        </w:rPr>
        <w:t>重庆市开州区关面乡中心小学</w:t>
      </w:r>
      <w:r>
        <w:rPr>
          <w:rFonts w:ascii="Times New Roman" w:hAnsi="Times New Roman" w:eastAsia="方正仿宋_GBK" w:cs="Times New Roman"/>
          <w:sz w:val="32"/>
          <w:szCs w:val="32"/>
        </w:rPr>
        <w:t>政府性基金预算支出预算表</w:t>
      </w:r>
    </w:p>
    <w:p w14:paraId="1731043B">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表9、</w:t>
      </w:r>
      <w:r>
        <w:rPr>
          <w:rFonts w:hint="eastAsia" w:ascii="Times New Roman" w:hAnsi="Times New Roman" w:eastAsia="方正仿宋_GBK" w:cs="Times New Roman"/>
          <w:sz w:val="32"/>
          <w:szCs w:val="32"/>
        </w:rPr>
        <w:t>重庆市开州区关面乡中心小学</w:t>
      </w:r>
      <w:r>
        <w:rPr>
          <w:rFonts w:ascii="Times New Roman" w:hAnsi="Times New Roman" w:eastAsia="方正仿宋_GBK" w:cs="Times New Roman"/>
          <w:sz w:val="32"/>
          <w:szCs w:val="32"/>
        </w:rPr>
        <w:t>国有资本经营预算支出预算表</w:t>
      </w:r>
    </w:p>
    <w:p w14:paraId="5689E5DD">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表10、</w:t>
      </w:r>
      <w:r>
        <w:rPr>
          <w:rFonts w:hint="eastAsia" w:ascii="Times New Roman" w:hAnsi="Times New Roman" w:eastAsia="方正仿宋_GBK" w:cs="Times New Roman"/>
          <w:sz w:val="32"/>
          <w:szCs w:val="32"/>
        </w:rPr>
        <w:t>重庆市开州区关面乡中心小学</w:t>
      </w:r>
      <w:r>
        <w:rPr>
          <w:rFonts w:ascii="Times New Roman" w:hAnsi="Times New Roman" w:eastAsia="方正仿宋_GBK" w:cs="Times New Roman"/>
          <w:sz w:val="32"/>
          <w:szCs w:val="32"/>
        </w:rPr>
        <w:t>项目支出表</w:t>
      </w:r>
    </w:p>
    <w:p w14:paraId="5741A88F">
      <w:pPr>
        <w:rPr>
          <w:rFonts w:ascii="Times New Roman" w:hAnsi="Times New Roman" w:eastAsia="方正仿宋_GBK" w:cs="Times New Roman"/>
          <w:sz w:val="32"/>
          <w:szCs w:val="32"/>
        </w:rPr>
      </w:pPr>
      <w:r>
        <w:rPr>
          <w:rFonts w:ascii="Times New Roman" w:hAnsi="Times New Roman" w:eastAsia="方正仿宋_GBK" w:cs="Times New Roman"/>
          <w:sz w:val="32"/>
          <w:szCs w:val="32"/>
        </w:rPr>
        <w:t>表11、2026年</w:t>
      </w:r>
      <w:r>
        <w:rPr>
          <w:rFonts w:hint="eastAsia" w:ascii="Times New Roman" w:hAnsi="Times New Roman" w:eastAsia="方正仿宋_GBK" w:cs="Times New Roman"/>
          <w:sz w:val="32"/>
          <w:szCs w:val="32"/>
        </w:rPr>
        <w:t>重庆市开州区关面乡中心小学</w:t>
      </w:r>
      <w:r>
        <w:rPr>
          <w:rFonts w:ascii="Times New Roman" w:hAnsi="Times New Roman" w:eastAsia="方正仿宋_GBK" w:cs="Times New Roman"/>
          <w:sz w:val="32"/>
          <w:szCs w:val="32"/>
        </w:rPr>
        <w:t>项目绩效目标表</w:t>
      </w:r>
    </w:p>
    <w:p w14:paraId="17A21E59">
      <w:pPr>
        <w:rPr>
          <w:rFonts w:ascii="Times New Roman" w:hAnsi="Times New Roman" w:cs="Times New Roman"/>
        </w:rPr>
      </w:pPr>
    </w:p>
    <w:p w14:paraId="26DDEE58">
      <w:pPr>
        <w:rPr>
          <w:rFonts w:ascii="Times New Roman" w:hAnsi="Times New Roman" w:eastAsia="方正仿宋_GBK" w:cs="Times New Roman"/>
          <w:b/>
          <w:bCs/>
          <w:sz w:val="32"/>
          <w:szCs w:val="32"/>
        </w:rPr>
      </w:pPr>
      <w:r>
        <w:rPr>
          <w:rFonts w:ascii="Times New Roman" w:hAnsi="Times New Roman" w:eastAsia="方正仿宋_GBK" w:cs="Times New Roman"/>
          <w:b/>
          <w:bCs/>
          <w:sz w:val="32"/>
          <w:szCs w:val="32"/>
        </w:rPr>
        <w:t>注：上述表格样表详见附表《</w:t>
      </w:r>
      <w:r>
        <w:rPr>
          <w:rFonts w:hint="eastAsia" w:ascii="Times New Roman" w:hAnsi="Times New Roman" w:eastAsia="方正仿宋_GBK" w:cs="Times New Roman"/>
          <w:b/>
          <w:bCs/>
          <w:sz w:val="32"/>
          <w:szCs w:val="32"/>
        </w:rPr>
        <w:t>重庆市开州区关面乡中心小学</w:t>
      </w:r>
      <w:r>
        <w:rPr>
          <w:rFonts w:ascii="Times New Roman" w:hAnsi="Times New Roman" w:eastAsia="方正仿宋_GBK" w:cs="Times New Roman"/>
          <w:b/>
          <w:bCs/>
          <w:sz w:val="32"/>
          <w:szCs w:val="32"/>
        </w:rPr>
        <w:t>2026年部门预算公开报表》。</w:t>
      </w:r>
    </w:p>
    <w:p w14:paraId="3829B884">
      <w:pPr>
        <w:rPr>
          <w:rFonts w:ascii="Times New Roman" w:hAnsi="Times New Roman" w:cs="Times New Roman"/>
        </w:rPr>
      </w:pPr>
    </w:p>
    <w:p w14:paraId="39130C87">
      <w:pPr>
        <w:rPr>
          <w:rFonts w:ascii="Times New Roman" w:hAnsi="Times New Roman" w:cs="Times New Roman"/>
        </w:rPr>
      </w:pPr>
    </w:p>
    <w:p w14:paraId="60B5B47E">
      <w:pPr>
        <w:rPr>
          <w:rFonts w:ascii="Times New Roman" w:hAnsi="Times New Roman" w:cs="Times New Roman"/>
        </w:rPr>
      </w:pPr>
    </w:p>
    <w:p w14:paraId="1912BD80">
      <w:pPr>
        <w:rPr>
          <w:rFonts w:ascii="Times New Roman" w:hAnsi="Times New Roman" w:cs="Times New Roman"/>
        </w:rPr>
      </w:pPr>
    </w:p>
    <w:p w14:paraId="0E9BBA2C">
      <w:pPr>
        <w:rPr>
          <w:rFonts w:ascii="Times New Roman" w:hAnsi="Times New Roman" w:cs="Times New Roman"/>
        </w:rPr>
      </w:pPr>
    </w:p>
    <w:p w14:paraId="080EF946">
      <w:pPr>
        <w:spacing w:line="600" w:lineRule="exact"/>
        <w:jc w:val="center"/>
        <w:rPr>
          <w:rFonts w:ascii="Times New Roman" w:hAnsi="Times New Roman" w:eastAsia="方正小标宋_GBK" w:cs="Times New Roman"/>
          <w:sz w:val="44"/>
          <w:szCs w:val="44"/>
        </w:rPr>
      </w:pPr>
      <w:r>
        <w:rPr>
          <w:rFonts w:ascii="Times New Roman" w:hAnsi="Times New Roman" w:eastAsia="方正小标宋_GBK" w:cs="Times New Roman"/>
          <w:sz w:val="44"/>
          <w:szCs w:val="44"/>
        </w:rPr>
        <w:br w:type="page"/>
      </w:r>
      <w:r>
        <w:rPr>
          <w:rFonts w:ascii="Times New Roman" w:hAnsi="Times New Roman" w:eastAsia="方正小标宋_GBK" w:cs="Times New Roman"/>
          <w:sz w:val="44"/>
          <w:szCs w:val="44"/>
        </w:rPr>
        <w:t>第一部分：2026年部门预算情况说明</w:t>
      </w:r>
    </w:p>
    <w:p w14:paraId="17EB2DC6">
      <w:pPr>
        <w:spacing w:line="600" w:lineRule="exact"/>
        <w:ind w:firstLine="880" w:firstLineChars="200"/>
        <w:jc w:val="center"/>
        <w:rPr>
          <w:rFonts w:ascii="Times New Roman" w:hAnsi="Times New Roman" w:eastAsia="华文中宋" w:cs="Times New Roman"/>
          <w:sz w:val="44"/>
          <w:szCs w:val="44"/>
        </w:rPr>
      </w:pPr>
    </w:p>
    <w:p w14:paraId="4402DEA8">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一、单位基本情况</w:t>
      </w:r>
    </w:p>
    <w:p w14:paraId="1F542139">
      <w:pPr>
        <w:spacing w:line="600" w:lineRule="exact"/>
        <w:ind w:firstLine="640" w:firstLineChars="200"/>
        <w:rPr>
          <w:rFonts w:ascii="Times New Roman" w:hAnsi="Times New Roman" w:eastAsia="方正楷体_GBK" w:cs="Times New Roman"/>
          <w:sz w:val="32"/>
        </w:rPr>
      </w:pPr>
      <w:r>
        <w:rPr>
          <w:rFonts w:ascii="Times New Roman" w:hAnsi="Times New Roman" w:eastAsia="方正楷体_GBK" w:cs="Times New Roman"/>
          <w:sz w:val="32"/>
        </w:rPr>
        <w:t>（一）职能职责</w:t>
      </w:r>
    </w:p>
    <w:p w14:paraId="38861106">
      <w:pPr>
        <w:shd w:val="clear" w:color="auto" w:fill="FFFFFF"/>
        <w:snapToGrid w:val="0"/>
        <w:spacing w:line="62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1.组织实施教育教学活动，维护学校的教学秩序。</w:t>
      </w:r>
    </w:p>
    <w:p w14:paraId="4844EB87">
      <w:pPr>
        <w:shd w:val="clear" w:color="auto" w:fill="FFFFFF"/>
        <w:snapToGrid w:val="0"/>
        <w:spacing w:line="62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2.对受教育者进行学籍管理，实施奖励或者处分，颁发相应的学业证书。</w:t>
      </w:r>
    </w:p>
    <w:p w14:paraId="1825FF3B">
      <w:pPr>
        <w:shd w:val="clear" w:color="auto" w:fill="FFFFFF"/>
        <w:snapToGrid w:val="0"/>
        <w:spacing w:line="62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3.聘任教职工，实施奖励或者处分。</w:t>
      </w:r>
    </w:p>
    <w:p w14:paraId="67B297C0">
      <w:pPr>
        <w:shd w:val="clear" w:color="auto" w:fill="FFFFFF"/>
        <w:snapToGrid w:val="0"/>
        <w:spacing w:line="62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4.维护受教育者、教师及其他职工的合法权益。</w:t>
      </w:r>
    </w:p>
    <w:p w14:paraId="17527B87">
      <w:pPr>
        <w:shd w:val="clear" w:color="auto" w:fill="FFFFFF"/>
        <w:snapToGrid w:val="0"/>
        <w:spacing w:line="620" w:lineRule="exact"/>
        <w:ind w:firstLine="640" w:firstLineChars="200"/>
        <w:rPr>
          <w:rFonts w:ascii="Times New Roman" w:hAnsi="Times New Roman" w:eastAsia="方正仿宋_GBK" w:cs="Times New Roman"/>
          <w:kern w:val="0"/>
          <w:sz w:val="32"/>
          <w:szCs w:val="32"/>
          <w:shd w:val="clear" w:color="auto" w:fill="FFFFFF"/>
        </w:rPr>
      </w:pPr>
      <w:r>
        <w:rPr>
          <w:rFonts w:ascii="Times New Roman" w:hAnsi="Times New Roman" w:eastAsia="方正仿宋_GBK" w:cs="Times New Roman"/>
          <w:kern w:val="0"/>
          <w:sz w:val="32"/>
          <w:szCs w:val="32"/>
          <w:shd w:val="clear" w:color="auto" w:fill="FFFFFF"/>
        </w:rPr>
        <w:t>5.根据学校规模，设置学校管理机构，建立健全各项规章制度和岗位责任制。</w:t>
      </w:r>
    </w:p>
    <w:p w14:paraId="0B41D32F">
      <w:pPr>
        <w:shd w:val="clear" w:color="auto" w:fill="FFFFFF"/>
        <w:snapToGrid w:val="0"/>
        <w:spacing w:line="620" w:lineRule="exact"/>
        <w:ind w:firstLine="640" w:firstLineChars="200"/>
        <w:rPr>
          <w:rFonts w:eastAsia="方正仿宋_GBK"/>
          <w:sz w:val="32"/>
        </w:rPr>
      </w:pPr>
      <w:r>
        <w:rPr>
          <w:rFonts w:ascii="Times New Roman" w:hAnsi="Times New Roman" w:eastAsia="方正仿宋_GBK" w:cs="Times New Roman"/>
          <w:kern w:val="0"/>
          <w:sz w:val="32"/>
          <w:szCs w:val="32"/>
          <w:shd w:val="clear" w:color="auto" w:fill="FFFFFF"/>
        </w:rPr>
        <w:t>6.做好学校安全稳定工作</w:t>
      </w:r>
      <w:r>
        <w:rPr>
          <w:rFonts w:ascii="方正仿宋_GBK" w:hAnsi="方正仿宋_GBK" w:eastAsia="方正仿宋_GBK" w:cs="方正仿宋_GBK"/>
          <w:kern w:val="0"/>
          <w:sz w:val="32"/>
          <w:szCs w:val="32"/>
          <w:shd w:val="clear" w:color="auto" w:fill="FFFFFF"/>
        </w:rPr>
        <w:t>和后勤保障服务工作。</w:t>
      </w:r>
    </w:p>
    <w:p w14:paraId="7EBF232B">
      <w:pPr>
        <w:pStyle w:val="26"/>
        <w:tabs>
          <w:tab w:val="center" w:pos="4153"/>
          <w:tab w:val="left" w:pos="7275"/>
        </w:tabs>
        <w:spacing w:line="600" w:lineRule="exact"/>
        <w:ind w:left="640" w:firstLine="0" w:firstLineChars="0"/>
        <w:jc w:val="left"/>
        <w:rPr>
          <w:rFonts w:ascii="Times New Roman" w:hAnsi="Times New Roman" w:eastAsia="方正楷体_GBK" w:cs="Times New Roman"/>
          <w:sz w:val="32"/>
        </w:rPr>
      </w:pPr>
      <w:r>
        <w:rPr>
          <w:rFonts w:ascii="Times New Roman" w:hAnsi="Times New Roman" w:eastAsia="方正楷体_GBK" w:cs="Times New Roman"/>
          <w:sz w:val="32"/>
        </w:rPr>
        <w:t>（二）单位构成</w:t>
      </w:r>
    </w:p>
    <w:p w14:paraId="68BAC4E7">
      <w:pPr>
        <w:pStyle w:val="26"/>
        <w:tabs>
          <w:tab w:val="center" w:pos="4153"/>
          <w:tab w:val="left" w:pos="7275"/>
        </w:tabs>
        <w:overflowPunct w:val="0"/>
        <w:spacing w:line="600" w:lineRule="exact"/>
        <w:ind w:firstLine="640"/>
        <w:rPr>
          <w:rFonts w:ascii="方正仿宋_GBK" w:hAnsi="方正仿宋_GBK" w:eastAsia="方正仿宋_GBK" w:cs="方正仿宋_GBK"/>
          <w:kern w:val="0"/>
          <w:sz w:val="32"/>
          <w:szCs w:val="32"/>
          <w:shd w:val="clear" w:color="auto" w:fill="FFFFFF"/>
        </w:rPr>
      </w:pPr>
      <w:r>
        <w:rPr>
          <w:rFonts w:ascii="方正仿宋_GBK" w:hAnsi="方正仿宋_GBK" w:eastAsia="方正仿宋_GBK" w:cs="方正仿宋_GBK"/>
          <w:kern w:val="0"/>
          <w:sz w:val="32"/>
          <w:szCs w:val="32"/>
          <w:shd w:val="clear" w:color="auto" w:fill="FFFFFF"/>
        </w:rPr>
        <w:t>重庆市开州区关面乡中心小学下设</w:t>
      </w:r>
      <w:r>
        <w:rPr>
          <w:rFonts w:ascii="Times New Roman" w:hAnsi="Times New Roman" w:eastAsia="方正仿宋_GBK"/>
          <w:kern w:val="0"/>
          <w:sz w:val="32"/>
          <w:szCs w:val="32"/>
          <w:shd w:val="clear" w:color="auto" w:fill="FFFFFF"/>
        </w:rPr>
        <w:t>3</w:t>
      </w:r>
      <w:r>
        <w:rPr>
          <w:rFonts w:ascii="方正仿宋_GBK" w:hAnsi="方正仿宋_GBK" w:eastAsia="方正仿宋_GBK" w:cs="方正仿宋_GBK"/>
          <w:kern w:val="0"/>
          <w:sz w:val="32"/>
          <w:szCs w:val="32"/>
          <w:shd w:val="clear" w:color="auto" w:fill="FFFFFF"/>
        </w:rPr>
        <w:t>个职能处室，分别是：教导处、安稳办、总务处。</w:t>
      </w:r>
    </w:p>
    <w:p w14:paraId="67160B9A">
      <w:pPr>
        <w:spacing w:line="600" w:lineRule="exact"/>
        <w:ind w:firstLine="640" w:firstLineChars="200"/>
        <w:rPr>
          <w:rFonts w:ascii="Times New Roman" w:hAnsi="Times New Roman" w:eastAsia="方正仿宋_GBK" w:cs="Times New Roman"/>
          <w:sz w:val="32"/>
        </w:rPr>
      </w:pPr>
      <w:r>
        <w:rPr>
          <w:rFonts w:ascii="方正仿宋_GBK" w:hAnsi="方正仿宋_GBK" w:eastAsia="方正仿宋_GBK" w:cs="方正仿宋_GBK"/>
          <w:kern w:val="0"/>
          <w:sz w:val="32"/>
          <w:szCs w:val="32"/>
          <w:shd w:val="clear" w:color="auto" w:fill="FFFFFF"/>
        </w:rPr>
        <w:t>从预算单位构成看，本单位为二级预算单位，主管部门为重庆市开州区教育委员会。</w:t>
      </w:r>
    </w:p>
    <w:p w14:paraId="25E2BB6F">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二、部门收支总体情况</w:t>
      </w:r>
    </w:p>
    <w:p w14:paraId="08470F41">
      <w:pPr>
        <w:spacing w:line="600" w:lineRule="exact"/>
        <w:ind w:firstLine="640" w:firstLineChars="200"/>
        <w:rPr>
          <w:rFonts w:eastAsia="方正仿宋_GBK"/>
          <w:sz w:val="32"/>
        </w:rPr>
      </w:pPr>
      <w:r>
        <w:rPr>
          <w:rFonts w:ascii="Times New Roman" w:hAnsi="Times New Roman" w:eastAsia="方正楷体_GBK" w:cs="Times New Roman"/>
          <w:sz w:val="32"/>
        </w:rPr>
        <w:t>（一）收入预算：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692.5</w:t>
      </w:r>
      <w:r>
        <w:rPr>
          <w:rFonts w:ascii="Times New Roman" w:hAnsi="Times New Roman" w:eastAsia="方正仿宋_GBK" w:cs="Times New Roman"/>
          <w:sz w:val="32"/>
        </w:rPr>
        <w:t xml:space="preserve">万元，上年结转 </w:t>
      </w:r>
      <w:r>
        <w:rPr>
          <w:rFonts w:hint="eastAsia" w:ascii="Times New Roman" w:hAnsi="Times New Roman" w:eastAsia="方正仿宋_GBK" w:cs="Times New Roman"/>
          <w:sz w:val="32"/>
        </w:rPr>
        <w:t>9.08</w:t>
      </w:r>
      <w:r>
        <w:rPr>
          <w:rFonts w:ascii="Times New Roman" w:hAnsi="Times New Roman" w:eastAsia="方正仿宋_GBK" w:cs="Times New Roman"/>
          <w:sz w:val="32"/>
        </w:rPr>
        <w:t>万元，其中：一般公共预算拨款收入</w:t>
      </w:r>
      <w:r>
        <w:rPr>
          <w:rFonts w:hint="eastAsia" w:ascii="Times New Roman" w:hAnsi="Times New Roman" w:eastAsia="方正仿宋_GBK" w:cs="Times New Roman"/>
          <w:sz w:val="32"/>
        </w:rPr>
        <w:t>683.42</w:t>
      </w:r>
      <w:r>
        <w:rPr>
          <w:rFonts w:ascii="Times New Roman" w:hAnsi="Times New Roman" w:eastAsia="方正仿宋_GBK" w:cs="Times New Roman"/>
          <w:sz w:val="32"/>
        </w:rPr>
        <w:t>万元，上年结转</w:t>
      </w:r>
      <w:r>
        <w:rPr>
          <w:rFonts w:hint="eastAsia" w:ascii="Times New Roman" w:hAnsi="Times New Roman" w:eastAsia="方正仿宋_GBK" w:cs="Times New Roman"/>
          <w:sz w:val="32"/>
        </w:rPr>
        <w:t>9.08</w:t>
      </w:r>
      <w:r>
        <w:rPr>
          <w:rFonts w:ascii="Times New Roman" w:hAnsi="Times New Roman" w:eastAsia="方正仿宋_GBK" w:cs="Times New Roman"/>
          <w:sz w:val="32"/>
        </w:rPr>
        <w:t>万元。收入较2025年增加51.97万元，主要是</w:t>
      </w:r>
      <w:r>
        <w:rPr>
          <w:rFonts w:hint="eastAsia" w:ascii="Times New Roman" w:hAnsi="Times New Roman" w:eastAsia="方正仿宋_GBK" w:cs="Times New Roman"/>
          <w:sz w:val="32"/>
        </w:rPr>
        <w:t>一般公共预算财政拨款增加5</w:t>
      </w:r>
      <w:r>
        <w:rPr>
          <w:rFonts w:ascii="Times New Roman" w:hAnsi="Times New Roman" w:eastAsia="方正仿宋_GBK" w:cs="Times New Roman"/>
          <w:sz w:val="32"/>
        </w:rPr>
        <w:t>1.97</w:t>
      </w:r>
      <w:r>
        <w:rPr>
          <w:rFonts w:hint="eastAsia" w:ascii="Times New Roman" w:hAnsi="Times New Roman" w:eastAsia="方正仿宋_GBK" w:cs="Times New Roman"/>
          <w:sz w:val="32"/>
        </w:rPr>
        <w:t>万元</w:t>
      </w:r>
      <w:r>
        <w:rPr>
          <w:rFonts w:ascii="Times New Roman" w:hAnsi="Times New Roman" w:eastAsia="方正仿宋_GBK" w:cs="Times New Roman"/>
          <w:sz w:val="32"/>
        </w:rPr>
        <w:t>。</w:t>
      </w:r>
    </w:p>
    <w:p w14:paraId="4F68F748">
      <w:pPr>
        <w:spacing w:line="600" w:lineRule="exact"/>
        <w:ind w:firstLine="640" w:firstLineChars="200"/>
        <w:rPr>
          <w:rFonts w:ascii="Times New Roman" w:hAnsi="Times New Roman" w:eastAsia="方正仿宋_GBK" w:cs="Times New Roman"/>
          <w:sz w:val="32"/>
        </w:rPr>
      </w:pPr>
      <w:r>
        <w:rPr>
          <w:rFonts w:ascii="Times New Roman" w:hAnsi="Times New Roman" w:eastAsia="方正楷体_GBK" w:cs="Times New Roman"/>
          <w:sz w:val="32"/>
        </w:rPr>
        <w:t>（二）支出预算：</w:t>
      </w:r>
      <w:r>
        <w:rPr>
          <w:rFonts w:ascii="Times New Roman" w:hAnsi="Times New Roman" w:eastAsia="方正仿宋_GBK" w:cs="Times New Roman"/>
          <w:sz w:val="32"/>
        </w:rPr>
        <w:t>2026年年初预算数</w:t>
      </w:r>
      <w:r>
        <w:rPr>
          <w:rFonts w:hint="eastAsia" w:ascii="Times New Roman" w:hAnsi="Times New Roman" w:eastAsia="方正仿宋_GBK" w:cs="Times New Roman"/>
          <w:sz w:val="32"/>
        </w:rPr>
        <w:t>692.50</w:t>
      </w:r>
      <w:r>
        <w:rPr>
          <w:rFonts w:ascii="Times New Roman" w:hAnsi="Times New Roman" w:eastAsia="方正仿宋_GBK" w:cs="Times New Roman"/>
          <w:sz w:val="32"/>
        </w:rPr>
        <w:t>万元，其中：教育支出预算</w:t>
      </w:r>
      <w:r>
        <w:rPr>
          <w:rFonts w:hint="eastAsia" w:ascii="Times New Roman" w:hAnsi="Times New Roman" w:eastAsia="方正仿宋_GBK" w:cs="Times New Roman"/>
          <w:sz w:val="32"/>
        </w:rPr>
        <w:t>484.57</w:t>
      </w:r>
      <w:r>
        <w:rPr>
          <w:rFonts w:ascii="Times New Roman" w:hAnsi="Times New Roman" w:eastAsia="方正仿宋_GBK" w:cs="Times New Roman"/>
          <w:sz w:val="32"/>
        </w:rPr>
        <w:t>万元，社会保障和就业支出预算</w:t>
      </w:r>
      <w:r>
        <w:rPr>
          <w:rFonts w:hint="eastAsia" w:ascii="Times New Roman" w:hAnsi="Times New Roman" w:eastAsia="方正仿宋_GBK" w:cs="Times New Roman"/>
          <w:sz w:val="32"/>
        </w:rPr>
        <w:t>154.81</w:t>
      </w:r>
      <w:r>
        <w:rPr>
          <w:rFonts w:ascii="Times New Roman" w:hAnsi="Times New Roman" w:eastAsia="方正仿宋_GBK" w:cs="Times New Roman"/>
          <w:sz w:val="32"/>
        </w:rPr>
        <w:t>万元，卫生健康支出预算</w:t>
      </w:r>
      <w:r>
        <w:rPr>
          <w:rFonts w:hint="eastAsia" w:ascii="Times New Roman" w:hAnsi="Times New Roman" w:eastAsia="方正仿宋_GBK" w:cs="Times New Roman"/>
          <w:sz w:val="32"/>
        </w:rPr>
        <w:t>30.39</w:t>
      </w:r>
      <w:r>
        <w:rPr>
          <w:rFonts w:ascii="Times New Roman" w:hAnsi="Times New Roman" w:eastAsia="方正仿宋_GBK" w:cs="Times New Roman"/>
          <w:sz w:val="32"/>
        </w:rPr>
        <w:t>万元，住房保障支出预算</w:t>
      </w:r>
      <w:r>
        <w:rPr>
          <w:rFonts w:hint="eastAsia" w:ascii="Times New Roman" w:hAnsi="Times New Roman" w:eastAsia="方正仿宋_GBK" w:cs="Times New Roman"/>
          <w:sz w:val="32"/>
        </w:rPr>
        <w:t>22.73</w:t>
      </w:r>
      <w:r>
        <w:rPr>
          <w:rFonts w:ascii="Times New Roman" w:hAnsi="Times New Roman" w:eastAsia="方正仿宋_GBK" w:cs="Times New Roman"/>
          <w:sz w:val="32"/>
        </w:rPr>
        <w:t>万元。支出预算较2025年增加</w:t>
      </w:r>
      <w:r>
        <w:rPr>
          <w:rFonts w:hint="eastAsia" w:ascii="Times New Roman" w:hAnsi="Times New Roman" w:eastAsia="方正仿宋_GBK" w:cs="Times New Roman"/>
          <w:sz w:val="32"/>
        </w:rPr>
        <w:t>51.97</w:t>
      </w:r>
      <w:r>
        <w:rPr>
          <w:rFonts w:ascii="Times New Roman" w:hAnsi="Times New Roman" w:eastAsia="方正仿宋_GBK" w:cs="Times New Roman"/>
          <w:sz w:val="32"/>
        </w:rPr>
        <w:t>万元，主要是基本支出预算增加</w:t>
      </w:r>
      <w:r>
        <w:rPr>
          <w:rFonts w:hint="eastAsia" w:ascii="Times New Roman" w:hAnsi="Times New Roman" w:eastAsia="方正仿宋_GBK" w:cs="Times New Roman"/>
          <w:sz w:val="32"/>
        </w:rPr>
        <w:t>14.2</w:t>
      </w:r>
      <w:r>
        <w:rPr>
          <w:rFonts w:ascii="Times New Roman" w:hAnsi="Times New Roman" w:eastAsia="方正仿宋_GBK" w:cs="Times New Roman"/>
          <w:sz w:val="32"/>
        </w:rPr>
        <w:t>7万元，项目支出预算增加</w:t>
      </w:r>
      <w:r>
        <w:rPr>
          <w:rFonts w:hint="eastAsia" w:ascii="Times New Roman" w:hAnsi="Times New Roman" w:eastAsia="方正仿宋_GBK" w:cs="Times New Roman"/>
          <w:sz w:val="32"/>
        </w:rPr>
        <w:t>37.71</w:t>
      </w:r>
      <w:r>
        <w:rPr>
          <w:rFonts w:ascii="Times New Roman" w:hAnsi="Times New Roman" w:eastAsia="方正仿宋_GBK" w:cs="Times New Roman"/>
          <w:sz w:val="32"/>
        </w:rPr>
        <w:t>万元。</w:t>
      </w:r>
    </w:p>
    <w:p w14:paraId="79B5635C">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三、部门预算情况说明</w:t>
      </w:r>
    </w:p>
    <w:p w14:paraId="02D7C954">
      <w:pPr>
        <w:spacing w:line="600" w:lineRule="exact"/>
        <w:ind w:firstLine="640" w:firstLineChars="200"/>
        <w:rPr>
          <w:rFonts w:ascii="Times New Roman" w:hAnsi="Times New Roman" w:eastAsia="方正仿宋_GBK" w:cs="Times New Roman"/>
          <w:sz w:val="32"/>
        </w:rPr>
      </w:pPr>
      <w:r>
        <w:rPr>
          <w:rFonts w:ascii="Times New Roman" w:hAnsi="Times New Roman" w:eastAsia="方正仿宋_GBK" w:cs="Times New Roman"/>
          <w:sz w:val="32"/>
        </w:rPr>
        <w:t>2026年一般公共预算财政拨款收入</w:t>
      </w:r>
      <w:r>
        <w:rPr>
          <w:rFonts w:hint="eastAsia" w:ascii="Times New Roman" w:hAnsi="Times New Roman" w:eastAsia="方正仿宋_GBK" w:cs="Times New Roman"/>
          <w:sz w:val="32"/>
        </w:rPr>
        <w:t>683.42</w:t>
      </w:r>
      <w:r>
        <w:rPr>
          <w:rFonts w:ascii="Times New Roman" w:hAnsi="Times New Roman" w:eastAsia="方正仿宋_GBK" w:cs="Times New Roman"/>
          <w:sz w:val="32"/>
        </w:rPr>
        <w:t>万元，</w:t>
      </w:r>
      <w:bookmarkStart w:id="0" w:name="_Hlk221634667"/>
      <w:r>
        <w:rPr>
          <w:rFonts w:ascii="Times New Roman" w:hAnsi="Times New Roman" w:eastAsia="方正仿宋_GBK" w:cs="Times New Roman"/>
          <w:sz w:val="32"/>
        </w:rPr>
        <w:t>一般公共预算财政拨款</w:t>
      </w:r>
      <w:bookmarkEnd w:id="0"/>
      <w:r>
        <w:rPr>
          <w:rFonts w:ascii="Times New Roman" w:hAnsi="Times New Roman" w:eastAsia="方正仿宋_GBK" w:cs="Times New Roman"/>
          <w:sz w:val="32"/>
        </w:rPr>
        <w:t>支出</w:t>
      </w:r>
      <w:r>
        <w:rPr>
          <w:rFonts w:hint="eastAsia" w:ascii="Times New Roman" w:hAnsi="Times New Roman" w:eastAsia="方正仿宋_GBK" w:cs="Times New Roman"/>
          <w:sz w:val="32"/>
        </w:rPr>
        <w:t>683.42</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42.89</w:t>
      </w:r>
      <w:r>
        <w:rPr>
          <w:rFonts w:ascii="Times New Roman" w:hAnsi="Times New Roman" w:eastAsia="方正仿宋_GBK" w:cs="Times New Roman"/>
          <w:sz w:val="32"/>
        </w:rPr>
        <w:t>万元。其中：基本支出</w:t>
      </w:r>
      <w:r>
        <w:rPr>
          <w:rFonts w:hint="eastAsia" w:ascii="Times New Roman" w:hAnsi="Times New Roman" w:eastAsia="方正仿宋_GBK" w:cs="Times New Roman"/>
          <w:sz w:val="32"/>
        </w:rPr>
        <w:t>583.64</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14.26</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rPr>
        <w:t>2</w:t>
      </w:r>
      <w:r>
        <w:rPr>
          <w:rFonts w:ascii="Times New Roman" w:hAnsi="Times New Roman" w:eastAsia="方正仿宋_GBK" w:cs="Times New Roman"/>
          <w:sz w:val="32"/>
        </w:rPr>
        <w:t>02</w:t>
      </w:r>
      <w:r>
        <w:rPr>
          <w:rFonts w:hint="eastAsia" w:ascii="Times New Roman" w:hAnsi="Times New Roman" w:eastAsia="方正仿宋_GBK" w:cs="Times New Roman"/>
          <w:sz w:val="32"/>
        </w:rPr>
        <w:t>6年</w:t>
      </w:r>
      <w:r>
        <w:rPr>
          <w:rFonts w:hint="eastAsia" w:ascii="方正仿宋_GBK" w:eastAsia="方正仿宋_GBK"/>
          <w:sz w:val="32"/>
        </w:rPr>
        <w:t>在职人员工资调标，退休人员增加</w:t>
      </w:r>
      <w:r>
        <w:rPr>
          <w:rFonts w:hint="eastAsia" w:ascii="Times New Roman" w:hAnsi="Times New Roman" w:eastAsia="方正仿宋_GBK" w:cs="Times New Roman"/>
          <w:sz w:val="32"/>
        </w:rPr>
        <w:t>2</w:t>
      </w:r>
      <w:r>
        <w:rPr>
          <w:rFonts w:hint="eastAsia" w:ascii="方正仿宋_GBK" w:eastAsia="方正仿宋_GBK"/>
          <w:sz w:val="32"/>
        </w:rPr>
        <w:t>人，</w:t>
      </w:r>
      <w:r>
        <w:rPr>
          <w:rFonts w:hint="eastAsia" w:eastAsia="方正仿宋_GBK"/>
          <w:sz w:val="32"/>
        </w:rPr>
        <w:t>相关人员经费增加</w:t>
      </w:r>
      <w:r>
        <w:rPr>
          <w:rFonts w:ascii="Times New Roman" w:hAnsi="Times New Roman" w:eastAsia="方正仿宋_GBK" w:cs="Times New Roman"/>
          <w:sz w:val="32"/>
        </w:rPr>
        <w:t>等，主要用于保障在职人员工资福利及社会保险缴费，离休人员离休费，退休人员补助等；项目支出</w:t>
      </w:r>
      <w:r>
        <w:rPr>
          <w:rFonts w:hint="eastAsia" w:ascii="Times New Roman" w:hAnsi="Times New Roman" w:eastAsia="方正仿宋_GBK" w:cs="Times New Roman"/>
          <w:sz w:val="32"/>
        </w:rPr>
        <w:t>108.87</w:t>
      </w:r>
      <w:r>
        <w:rPr>
          <w:rFonts w:ascii="Times New Roman" w:hAnsi="Times New Roman" w:eastAsia="方正仿宋_GBK" w:cs="Times New Roman"/>
          <w:sz w:val="32"/>
        </w:rPr>
        <w:t>万元，比2025年增加</w:t>
      </w:r>
      <w:r>
        <w:rPr>
          <w:rFonts w:hint="eastAsia" w:ascii="Times New Roman" w:hAnsi="Times New Roman" w:eastAsia="方正仿宋_GBK" w:cs="Times New Roman"/>
          <w:sz w:val="32"/>
        </w:rPr>
        <w:t>37.71</w:t>
      </w:r>
      <w:r>
        <w:rPr>
          <w:rFonts w:ascii="Times New Roman" w:hAnsi="Times New Roman" w:eastAsia="方正仿宋_GBK" w:cs="Times New Roman"/>
          <w:sz w:val="32"/>
        </w:rPr>
        <w:t>万元，主要原因是</w:t>
      </w:r>
      <w:r>
        <w:rPr>
          <w:rFonts w:hint="eastAsia" w:ascii="Times New Roman" w:hAnsi="Times New Roman" w:eastAsia="方正仿宋_GBK" w:cs="Times New Roman"/>
          <w:sz w:val="32"/>
        </w:rPr>
        <w:t>学前教育维修项目增加</w:t>
      </w:r>
      <w:r>
        <w:rPr>
          <w:rFonts w:ascii="Times New Roman" w:hAnsi="Times New Roman" w:eastAsia="方正仿宋_GBK" w:cs="Times New Roman"/>
          <w:sz w:val="32"/>
        </w:rPr>
        <w:t>，主要用于</w:t>
      </w:r>
      <w:r>
        <w:rPr>
          <w:rFonts w:hint="eastAsia" w:ascii="Times New Roman" w:hAnsi="Times New Roman" w:eastAsia="方正仿宋_GBK" w:cs="Times New Roman"/>
          <w:sz w:val="32"/>
        </w:rPr>
        <w:t>学前校舍维、添置设备设施</w:t>
      </w:r>
      <w:r>
        <w:rPr>
          <w:rFonts w:ascii="Times New Roman" w:hAnsi="Times New Roman" w:eastAsia="方正仿宋_GBK" w:cs="Times New Roman"/>
          <w:sz w:val="32"/>
        </w:rPr>
        <w:t>等重点工作。</w:t>
      </w:r>
    </w:p>
    <w:p w14:paraId="6F125F21">
      <w:pPr>
        <w:spacing w:line="600" w:lineRule="exact"/>
        <w:ind w:firstLine="640" w:firstLineChars="200"/>
        <w:rPr>
          <w:rFonts w:ascii="方正仿宋_GBK" w:hAnsi="仿宋_GB2312" w:eastAsia="方正仿宋_GBK" w:cs="仿宋_GB2312"/>
          <w:sz w:val="32"/>
        </w:rPr>
      </w:pPr>
      <w:r>
        <w:rPr>
          <w:rFonts w:hint="eastAsia" w:ascii="方正仿宋_GBK" w:hAnsi="仿宋_GB2312" w:eastAsia="方正仿宋_GBK" w:cs="仿宋_GB2312"/>
          <w:sz w:val="32"/>
        </w:rPr>
        <w:t>重庆市开州区关面乡中心小学2026年无使用政府性基金预算拨款安排的支出。</w:t>
      </w:r>
    </w:p>
    <w:p w14:paraId="7407F66E">
      <w:pPr>
        <w:spacing w:line="600" w:lineRule="exact"/>
        <w:ind w:left="640"/>
        <w:rPr>
          <w:rFonts w:ascii="Times New Roman" w:hAnsi="Times New Roman" w:eastAsia="方正仿宋_GBK" w:cs="Times New Roman"/>
          <w:sz w:val="32"/>
        </w:rPr>
      </w:pPr>
      <w:r>
        <w:rPr>
          <w:rFonts w:ascii="Times New Roman" w:hAnsi="Times New Roman" w:eastAsia="方正黑体_GBK" w:cs="Times New Roman"/>
          <w:sz w:val="32"/>
        </w:rPr>
        <w:t>四、“三公”经费情况说明</w:t>
      </w:r>
    </w:p>
    <w:p w14:paraId="59FAF0F0">
      <w:pPr>
        <w:overflowPunct w:val="0"/>
        <w:spacing w:line="600" w:lineRule="exact"/>
        <w:ind w:firstLine="600"/>
        <w:rPr>
          <w:rFonts w:ascii="Times New Roman" w:hAnsi="Times New Roman" w:eastAsia="方正仿宋_GBK" w:cs="Times New Roman"/>
          <w:sz w:val="32"/>
        </w:rPr>
      </w:pPr>
      <w:r>
        <w:rPr>
          <w:rFonts w:hint="eastAsia" w:ascii="Times New Roman" w:hAnsi="Times New Roman" w:eastAsia="方正仿宋_GBK" w:cs="Times New Roman"/>
          <w:sz w:val="32"/>
        </w:rPr>
        <w:t>我单位2025年、</w:t>
      </w:r>
      <w:r>
        <w:rPr>
          <w:rFonts w:ascii="Times New Roman" w:hAnsi="Times New Roman" w:eastAsia="方正仿宋_GBK" w:cs="Times New Roman"/>
          <w:sz w:val="32"/>
        </w:rPr>
        <w:t>2026年</w:t>
      </w:r>
      <w:r>
        <w:rPr>
          <w:rFonts w:hint="eastAsia" w:ascii="Times New Roman" w:hAnsi="Times New Roman" w:eastAsia="方正仿宋_GBK" w:cs="Times New Roman"/>
          <w:sz w:val="32"/>
        </w:rPr>
        <w:t>均无</w:t>
      </w:r>
      <w:r>
        <w:rPr>
          <w:rFonts w:ascii="Times New Roman" w:hAnsi="Times New Roman" w:eastAsia="方正仿宋_GBK" w:cs="Times New Roman"/>
          <w:sz w:val="32"/>
        </w:rPr>
        <w:t>“三公”经费预算</w:t>
      </w:r>
      <w:r>
        <w:rPr>
          <w:rFonts w:eastAsia="方正仿宋_GBK"/>
          <w:sz w:val="32"/>
        </w:rPr>
        <w:t>。</w:t>
      </w:r>
    </w:p>
    <w:p w14:paraId="47B68B4D">
      <w:pPr>
        <w:spacing w:line="600" w:lineRule="exact"/>
        <w:ind w:left="640"/>
        <w:rPr>
          <w:rFonts w:ascii="Times New Roman" w:hAnsi="Times New Roman" w:eastAsia="方正黑体_GBK" w:cs="Times New Roman"/>
          <w:sz w:val="32"/>
        </w:rPr>
      </w:pPr>
      <w:r>
        <w:rPr>
          <w:rFonts w:ascii="Times New Roman" w:hAnsi="Times New Roman" w:eastAsia="方正黑体_GBK" w:cs="Times New Roman"/>
          <w:sz w:val="32"/>
        </w:rPr>
        <w:t>五、其他重要事项的情况说明</w:t>
      </w:r>
    </w:p>
    <w:p w14:paraId="419D805D">
      <w:pPr>
        <w:ind w:firstLine="643" w:firstLineChars="200"/>
        <w:rPr>
          <w:rFonts w:ascii="Times New Roman" w:hAnsi="Times New Roman" w:eastAsia="方正仿宋_GBK" w:cs="Times New Roman"/>
          <w:sz w:val="32"/>
        </w:rPr>
      </w:pPr>
      <w:r>
        <w:rPr>
          <w:rFonts w:ascii="Times New Roman" w:hAnsi="Times New Roman" w:eastAsia="方正仿宋_GBK" w:cs="Times New Roman"/>
          <w:b/>
          <w:sz w:val="32"/>
        </w:rPr>
        <w:t>（一）</w:t>
      </w:r>
      <w:r>
        <w:rPr>
          <w:rFonts w:hint="eastAsia" w:ascii="Times New Roman" w:hAnsi="Times New Roman" w:eastAsia="方正仿宋_GBK" w:cs="Times New Roman"/>
          <w:b/>
          <w:sz w:val="32"/>
        </w:rPr>
        <w:t>机关运行经费</w:t>
      </w:r>
      <w:r>
        <w:rPr>
          <w:rFonts w:hint="eastAsia" w:ascii="Times New Roman" w:hAnsi="Times New Roman" w:eastAsia="方正楷体_GBK" w:cs="Times New Roman"/>
          <w:sz w:val="32"/>
          <w:szCs w:val="32"/>
        </w:rPr>
        <w:t>。</w:t>
      </w:r>
      <w:r>
        <w:rPr>
          <w:rFonts w:ascii="Times New Roman" w:hAnsi="Times New Roman" w:eastAsia="方正仿宋_GBK" w:cs="Times New Roman"/>
          <w:sz w:val="32"/>
        </w:rPr>
        <w:t>我单位不在机关运行经费统计范围之内。</w:t>
      </w:r>
    </w:p>
    <w:p w14:paraId="7A4A640D">
      <w:pPr>
        <w:ind w:firstLine="640" w:firstLineChars="200"/>
        <w:rPr>
          <w:rFonts w:ascii="Times New Roman" w:hAnsi="Times New Roman" w:eastAsia="方正仿宋_GBK" w:cs="Times New Roman"/>
          <w:sz w:val="32"/>
        </w:rPr>
      </w:pPr>
      <w:r>
        <w:rPr>
          <w:rFonts w:ascii="Times New Roman" w:hAnsi="Times New Roman" w:eastAsia="方正楷体_GBK" w:cs="Times New Roman"/>
          <w:sz w:val="32"/>
          <w:szCs w:val="32"/>
        </w:rPr>
        <w:t>（二）</w:t>
      </w:r>
      <w:r>
        <w:rPr>
          <w:rFonts w:ascii="Times New Roman" w:hAnsi="Times New Roman" w:eastAsia="方正仿宋_GBK" w:cs="Times New Roman"/>
          <w:b/>
          <w:sz w:val="32"/>
        </w:rPr>
        <w:t>政府采购情况</w:t>
      </w:r>
      <w:r>
        <w:rPr>
          <w:rFonts w:hint="eastAsia" w:ascii="Times New Roman" w:hAnsi="Times New Roman" w:eastAsia="方正仿宋_GBK" w:cs="Times New Roman"/>
          <w:b/>
          <w:sz w:val="32"/>
        </w:rPr>
        <w:t>。</w:t>
      </w:r>
      <w:r>
        <w:rPr>
          <w:rFonts w:hint="eastAsia" w:ascii="Times New Roman" w:hAnsi="Times New Roman" w:eastAsia="方正仿宋_GBK" w:cs="Times New Roman"/>
          <w:sz w:val="32"/>
        </w:rPr>
        <w:t>本</w:t>
      </w:r>
      <w:r>
        <w:rPr>
          <w:rFonts w:ascii="Times New Roman" w:hAnsi="Times New Roman" w:eastAsia="方正仿宋_GBK" w:cs="Times New Roman"/>
          <w:sz w:val="32"/>
        </w:rPr>
        <w:t>单位政府采购预算总额0.2万元：政府采购货物预算</w:t>
      </w:r>
      <w:r>
        <w:rPr>
          <w:rFonts w:hint="eastAsia" w:ascii="Times New Roman" w:hAnsi="Times New Roman" w:eastAsia="方正仿宋_GBK" w:cs="Times New Roman"/>
          <w:sz w:val="32"/>
        </w:rPr>
        <w:t>0.2</w:t>
      </w:r>
      <w:r>
        <w:rPr>
          <w:rFonts w:ascii="Times New Roman" w:hAnsi="Times New Roman" w:eastAsia="方正仿宋_GBK" w:cs="Times New Roman"/>
          <w:sz w:val="32"/>
        </w:rPr>
        <w:t>万元；其中一般公共预算拨款政府采购</w:t>
      </w:r>
      <w:r>
        <w:rPr>
          <w:rFonts w:hint="eastAsia" w:ascii="Times New Roman" w:hAnsi="Times New Roman" w:eastAsia="方正仿宋_GBK" w:cs="Times New Roman"/>
          <w:sz w:val="32"/>
        </w:rPr>
        <w:t>0.2</w:t>
      </w:r>
      <w:r>
        <w:rPr>
          <w:rFonts w:ascii="Times New Roman" w:hAnsi="Times New Roman" w:eastAsia="方正仿宋_GBK" w:cs="Times New Roman"/>
          <w:sz w:val="32"/>
        </w:rPr>
        <w:t>万元：政府采购货物预算</w:t>
      </w:r>
      <w:r>
        <w:rPr>
          <w:rFonts w:hint="eastAsia" w:ascii="Times New Roman" w:hAnsi="Times New Roman" w:eastAsia="方正仿宋_GBK" w:cs="Times New Roman"/>
          <w:sz w:val="32"/>
        </w:rPr>
        <w:t>0.2</w:t>
      </w:r>
      <w:r>
        <w:rPr>
          <w:rFonts w:ascii="Times New Roman" w:hAnsi="Times New Roman" w:eastAsia="方正仿宋_GBK" w:cs="Times New Roman"/>
          <w:sz w:val="32"/>
        </w:rPr>
        <w:t>万元。</w:t>
      </w:r>
    </w:p>
    <w:p w14:paraId="04DB0032">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（三）</w:t>
      </w:r>
      <w:r>
        <w:rPr>
          <w:rFonts w:ascii="Times New Roman" w:hAnsi="Times New Roman" w:eastAsia="方正仿宋_GBK" w:cs="Times New Roman"/>
          <w:b/>
          <w:sz w:val="32"/>
        </w:rPr>
        <w:t>绩效目标设置情况。</w:t>
      </w:r>
      <w:r>
        <w:rPr>
          <w:rFonts w:ascii="Times New Roman" w:hAnsi="Times New Roman" w:eastAsia="方正仿宋_GBK" w:cs="Times New Roman"/>
          <w:color w:val="000000"/>
          <w:sz w:val="32"/>
        </w:rPr>
        <w:t>2026年项目支出均实行了绩效目标管理，涉及一般公共预算当年财政拨款</w:t>
      </w:r>
      <w:r>
        <w:rPr>
          <w:rFonts w:hint="eastAsia" w:ascii="Times New Roman" w:hAnsi="Times New Roman" w:eastAsia="方正仿宋_GBK" w:cs="Times New Roman"/>
          <w:color w:val="000000"/>
          <w:sz w:val="32"/>
        </w:rPr>
        <w:t>99.79</w:t>
      </w:r>
      <w:r>
        <w:rPr>
          <w:rFonts w:ascii="Times New Roman" w:hAnsi="Times New Roman" w:eastAsia="方正仿宋_GBK" w:cs="Times New Roman"/>
          <w:color w:val="000000"/>
          <w:sz w:val="32"/>
        </w:rPr>
        <w:t>万元。</w:t>
      </w:r>
    </w:p>
    <w:p w14:paraId="3EB140FB">
      <w:pPr>
        <w:ind w:firstLine="640" w:firstLineChars="200"/>
        <w:rPr>
          <w:rFonts w:ascii="Times New Roman" w:hAnsi="Times New Roman" w:eastAsia="方正仿宋_GBK" w:cs="Times New Roman"/>
          <w:color w:val="000000"/>
          <w:sz w:val="32"/>
        </w:rPr>
      </w:pPr>
      <w:r>
        <w:rPr>
          <w:rFonts w:ascii="Times New Roman" w:hAnsi="Times New Roman" w:eastAsia="方正楷体_GBK" w:cs="Times New Roman"/>
          <w:sz w:val="32"/>
          <w:szCs w:val="32"/>
        </w:rPr>
        <w:t>（四）国有资产占有使用情况。</w:t>
      </w:r>
      <w:r>
        <w:rPr>
          <w:rFonts w:ascii="Times New Roman" w:hAnsi="Times New Roman" w:eastAsia="方正仿宋_GBK" w:cs="Times New Roman"/>
          <w:color w:val="000000"/>
          <w:sz w:val="32"/>
        </w:rPr>
        <w:t>截至2025年12月，</w:t>
      </w:r>
      <w:r>
        <w:rPr>
          <w:rFonts w:hint="eastAsia" w:ascii="Times New Roman" w:hAnsi="Times New Roman" w:eastAsia="方正仿宋_GBK" w:cs="Times New Roman"/>
          <w:color w:val="000000"/>
          <w:sz w:val="32"/>
        </w:rPr>
        <w:t>我单位无车辆。2026年一般公共预算未安排购置车辆。</w:t>
      </w:r>
    </w:p>
    <w:p w14:paraId="65168E17">
      <w:pPr>
        <w:ind w:firstLine="640" w:firstLineChars="200"/>
        <w:rPr>
          <w:rFonts w:ascii="Times New Roman" w:hAnsi="Times New Roman" w:eastAsia="方正黑体_GBK" w:cs="Times New Roman"/>
          <w:sz w:val="32"/>
        </w:rPr>
      </w:pPr>
      <w:r>
        <w:rPr>
          <w:rFonts w:ascii="Times New Roman" w:hAnsi="Times New Roman" w:eastAsia="方正黑体_GBK" w:cs="Times New Roman"/>
          <w:sz w:val="32"/>
        </w:rPr>
        <w:t>六、专业性名词解释</w:t>
      </w:r>
    </w:p>
    <w:p w14:paraId="12570820">
      <w:pPr>
        <w:pStyle w:val="26"/>
        <w:tabs>
          <w:tab w:val="center" w:pos="4153"/>
          <w:tab w:val="left" w:pos="7275"/>
        </w:tabs>
        <w:overflowPunct w:val="0"/>
        <w:spacing w:line="600" w:lineRule="exact"/>
        <w:ind w:firstLine="640"/>
        <w:rPr>
          <w:rFonts w:ascii="Times New Roman" w:hAnsi="Times New Roman" w:eastAsia="方正仿宋_GBK"/>
          <w:sz w:val="32"/>
          <w:szCs w:val="32"/>
        </w:rPr>
      </w:pPr>
      <w:r>
        <w:rPr>
          <w:rFonts w:hint="eastAsia" w:ascii="方正楷体_GBK" w:hAnsi="Times New Roman" w:eastAsia="方正楷体_GBK"/>
          <w:sz w:val="32"/>
          <w:szCs w:val="32"/>
        </w:rPr>
        <w:t>（一）财政拨款收入：</w:t>
      </w:r>
      <w:r>
        <w:rPr>
          <w:rFonts w:ascii="Times New Roman" w:hAnsi="Times New Roman" w:eastAsia="方正仿宋_GBK"/>
          <w:sz w:val="32"/>
          <w:szCs w:val="32"/>
        </w:rPr>
        <w:t>指本年度从本级财政部门取得的财政拨款，包括一般公共预算财政拨款和政府性基金预算财政拨款。</w:t>
      </w:r>
    </w:p>
    <w:p w14:paraId="325A8C40">
      <w:pPr>
        <w:pStyle w:val="26"/>
        <w:tabs>
          <w:tab w:val="center" w:pos="4153"/>
          <w:tab w:val="left" w:pos="7275"/>
        </w:tabs>
        <w:overflowPunct w:val="0"/>
        <w:spacing w:line="600" w:lineRule="exact"/>
        <w:ind w:firstLine="640"/>
        <w:rPr>
          <w:rFonts w:ascii="方正仿宋_GBK" w:hAnsi="Times New Roman" w:eastAsia="方正仿宋_GBK"/>
          <w:sz w:val="32"/>
          <w:szCs w:val="32"/>
        </w:rPr>
      </w:pPr>
      <w:r>
        <w:rPr>
          <w:rFonts w:hint="eastAsia" w:ascii="方正楷体_GBK" w:hAnsi="Times New Roman" w:eastAsia="方正楷体_GBK"/>
          <w:sz w:val="32"/>
          <w:szCs w:val="32"/>
        </w:rPr>
        <w:t>（二）其他收入：</w:t>
      </w:r>
      <w:r>
        <w:rPr>
          <w:rFonts w:ascii="Times New Roman" w:hAnsi="Times New Roman" w:eastAsia="方正仿宋_GBK"/>
          <w:sz w:val="32"/>
          <w:szCs w:val="32"/>
        </w:rPr>
        <w:t>指单位取</w:t>
      </w:r>
      <w:r>
        <w:rPr>
          <w:rFonts w:hint="eastAsia" w:ascii="方正仿宋_GBK" w:hAnsi="Times New Roman" w:eastAsia="方正仿宋_GBK"/>
          <w:sz w:val="32"/>
          <w:szCs w:val="32"/>
        </w:rPr>
        <w:t>得的除“财政拨款收入”、“事业收入”、“经营收入”等以外的收入。</w:t>
      </w:r>
    </w:p>
    <w:p w14:paraId="156AA141">
      <w:pPr>
        <w:pStyle w:val="26"/>
        <w:tabs>
          <w:tab w:val="center" w:pos="4153"/>
          <w:tab w:val="left" w:pos="7275"/>
        </w:tabs>
        <w:overflowPunct w:val="0"/>
        <w:spacing w:line="600" w:lineRule="exact"/>
        <w:ind w:firstLine="640"/>
        <w:rPr>
          <w:rFonts w:ascii="Times New Roman" w:hAnsi="Times New Roman" w:eastAsia="方正仿宋_GBK"/>
          <w:sz w:val="32"/>
          <w:szCs w:val="32"/>
        </w:rPr>
      </w:pPr>
      <w:r>
        <w:rPr>
          <w:rFonts w:hint="eastAsia" w:ascii="方正楷体_GBK" w:hAnsi="Times New Roman" w:eastAsia="方正楷体_GBK"/>
          <w:sz w:val="32"/>
          <w:szCs w:val="32"/>
        </w:rPr>
        <w:t>（三）基本支出：</w:t>
      </w:r>
      <w:r>
        <w:rPr>
          <w:rFonts w:ascii="Times New Roman" w:hAnsi="Times New Roman" w:eastAsia="方正仿宋_GBK"/>
          <w:sz w:val="32"/>
          <w:szCs w:val="32"/>
        </w:rPr>
        <w:t>指为保障机构正常运转、完成日常工作任务而发生的人员经费和公用经费。</w:t>
      </w:r>
    </w:p>
    <w:p w14:paraId="0DF54B73">
      <w:pPr>
        <w:pStyle w:val="26"/>
        <w:tabs>
          <w:tab w:val="center" w:pos="4153"/>
          <w:tab w:val="left" w:pos="7275"/>
        </w:tabs>
        <w:overflowPunct w:val="0"/>
        <w:spacing w:line="600" w:lineRule="exact"/>
        <w:ind w:firstLine="640"/>
        <w:rPr>
          <w:rFonts w:ascii="Times New Roman" w:hAnsi="Times New Roman" w:eastAsia="方正仿宋_GBK"/>
          <w:sz w:val="32"/>
          <w:szCs w:val="32"/>
        </w:rPr>
      </w:pPr>
      <w:r>
        <w:rPr>
          <w:rFonts w:hint="eastAsia" w:ascii="方正楷体_GBK" w:hAnsi="Times New Roman" w:eastAsia="方正楷体_GBK"/>
          <w:sz w:val="32"/>
          <w:szCs w:val="32"/>
        </w:rPr>
        <w:t>（四）项目支出：</w:t>
      </w:r>
      <w:r>
        <w:rPr>
          <w:rFonts w:ascii="Times New Roman" w:hAnsi="Times New Roman" w:eastAsia="方正仿宋_GBK"/>
          <w:sz w:val="32"/>
          <w:szCs w:val="32"/>
        </w:rPr>
        <w:t>指在基本支出之外为完成特定行政任务和事业发展目标所发生的支出。</w:t>
      </w:r>
    </w:p>
    <w:p w14:paraId="52D1DC22">
      <w:pPr>
        <w:overflowPunct w:val="0"/>
        <w:spacing w:line="600" w:lineRule="exact"/>
        <w:ind w:firstLine="640" w:firstLineChars="200"/>
        <w:rPr>
          <w:rFonts w:ascii="Times New Roman" w:hAnsi="Times New Roman" w:eastAsia="方正小标宋_GBK" w:cs="Times New Roman"/>
          <w:sz w:val="44"/>
          <w:szCs w:val="44"/>
        </w:rPr>
      </w:pPr>
      <w:r>
        <w:rPr>
          <w:rFonts w:hint="eastAsia" w:ascii="方正楷体_GBK" w:eastAsia="方正楷体_GBK"/>
          <w:sz w:val="32"/>
          <w:szCs w:val="32"/>
        </w:rPr>
        <w:t>（五）“三公”经费：</w:t>
      </w:r>
      <w:r>
        <w:rPr>
          <w:rFonts w:hint="eastAsia" w:ascii="方正仿宋_GBK" w:eastAsia="方正仿宋_GBK"/>
          <w:sz w:val="32"/>
          <w:szCs w:val="32"/>
        </w:rPr>
        <w:t>指用一</w:t>
      </w:r>
      <w:r>
        <w:rPr>
          <w:rFonts w:eastAsia="方正仿宋_GBK"/>
          <w:sz w:val="32"/>
          <w:szCs w:val="32"/>
        </w:rPr>
        <w:t>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F31B545">
      <w:pPr>
        <w:spacing w:line="600" w:lineRule="exact"/>
        <w:ind w:firstLine="880" w:firstLineChars="200"/>
        <w:rPr>
          <w:rFonts w:ascii="Times New Roman" w:hAnsi="Times New Roman" w:eastAsia="方正小标宋_GBK" w:cs="Times New Roman"/>
          <w:sz w:val="44"/>
          <w:szCs w:val="44"/>
        </w:rPr>
      </w:pPr>
    </w:p>
    <w:p w14:paraId="6A5397E0">
      <w:pPr>
        <w:spacing w:line="600" w:lineRule="exact"/>
        <w:ind w:firstLine="880" w:firstLineChars="200"/>
        <w:rPr>
          <w:rFonts w:ascii="Times New Roman" w:hAnsi="Times New Roman" w:eastAsia="方正小标宋_GBK" w:cs="Times New Roman"/>
          <w:sz w:val="44"/>
          <w:szCs w:val="44"/>
        </w:rPr>
      </w:pPr>
    </w:p>
    <w:p w14:paraId="0D7BD9FF">
      <w:pPr>
        <w:spacing w:line="600" w:lineRule="exact"/>
        <w:ind w:firstLine="880" w:firstLineChars="200"/>
        <w:rPr>
          <w:rFonts w:ascii="Times New Roman" w:hAnsi="Times New Roman" w:eastAsia="方正小标宋_GBK" w:cs="Times New Roman"/>
          <w:sz w:val="44"/>
          <w:szCs w:val="44"/>
        </w:rPr>
      </w:pPr>
    </w:p>
    <w:p w14:paraId="65E8C6F8">
      <w:pPr>
        <w:spacing w:line="600" w:lineRule="exact"/>
        <w:ind w:firstLine="880" w:firstLineChars="200"/>
        <w:rPr>
          <w:rFonts w:ascii="Times New Roman" w:hAnsi="Times New Roman" w:eastAsia="方正小标宋_GBK" w:cs="Times New Roman"/>
          <w:sz w:val="44"/>
          <w:szCs w:val="44"/>
        </w:rPr>
      </w:pPr>
    </w:p>
    <w:p w14:paraId="0412510D">
      <w:pPr>
        <w:spacing w:line="600" w:lineRule="exact"/>
        <w:ind w:firstLine="880" w:firstLineChars="200"/>
        <w:rPr>
          <w:rFonts w:ascii="Times New Roman" w:hAnsi="Times New Roman" w:eastAsia="方正小标宋_GBK" w:cs="Times New Roman"/>
          <w:sz w:val="44"/>
          <w:szCs w:val="44"/>
        </w:rPr>
      </w:pPr>
    </w:p>
    <w:p w14:paraId="50FC9948">
      <w:pPr>
        <w:spacing w:line="600" w:lineRule="exact"/>
        <w:ind w:firstLine="880" w:firstLineChars="200"/>
        <w:rPr>
          <w:rFonts w:ascii="Times New Roman" w:hAnsi="Times New Roman" w:eastAsia="方正小标宋_GBK" w:cs="Times New Roman"/>
          <w:sz w:val="44"/>
          <w:szCs w:val="44"/>
        </w:rPr>
      </w:pPr>
    </w:p>
    <w:p w14:paraId="01E2B7FB">
      <w:pPr>
        <w:spacing w:line="600" w:lineRule="exact"/>
        <w:ind w:firstLine="880" w:firstLineChars="200"/>
        <w:rPr>
          <w:rFonts w:ascii="Times New Roman" w:hAnsi="Times New Roman" w:eastAsia="方正小标宋_GBK" w:cs="Times New Roman"/>
          <w:sz w:val="44"/>
          <w:szCs w:val="44"/>
        </w:rPr>
      </w:pPr>
    </w:p>
    <w:p w14:paraId="79CF2B0F">
      <w:pPr>
        <w:spacing w:line="600" w:lineRule="exact"/>
        <w:ind w:firstLine="880" w:firstLineChars="200"/>
        <w:rPr>
          <w:rFonts w:ascii="Times New Roman" w:hAnsi="Times New Roman" w:eastAsia="方正小标宋_GBK" w:cs="Times New Roman"/>
          <w:sz w:val="44"/>
          <w:szCs w:val="44"/>
        </w:rPr>
      </w:pPr>
    </w:p>
    <w:p w14:paraId="1850BC7D">
      <w:pPr>
        <w:spacing w:line="600" w:lineRule="exact"/>
        <w:ind w:firstLine="880" w:firstLineChars="200"/>
        <w:rPr>
          <w:rFonts w:ascii="Times New Roman" w:hAnsi="Times New Roman" w:eastAsia="方正小标宋_GBK" w:cs="Times New Roman"/>
          <w:sz w:val="44"/>
          <w:szCs w:val="44"/>
        </w:rPr>
      </w:pPr>
    </w:p>
    <w:p w14:paraId="0A2136C2">
      <w:pPr>
        <w:spacing w:line="600" w:lineRule="exact"/>
        <w:ind w:firstLine="880" w:firstLineChars="200"/>
        <w:rPr>
          <w:rFonts w:ascii="Times New Roman" w:hAnsi="Times New Roman" w:eastAsia="方正小标宋_GBK" w:cs="Times New Roman"/>
          <w:sz w:val="44"/>
          <w:szCs w:val="44"/>
        </w:rPr>
      </w:pPr>
    </w:p>
    <w:p w14:paraId="75BB62A0">
      <w:pPr>
        <w:spacing w:line="600" w:lineRule="exact"/>
        <w:ind w:firstLine="880" w:firstLineChars="200"/>
        <w:rPr>
          <w:rFonts w:ascii="Times New Roman" w:hAnsi="Times New Roman" w:eastAsia="方正小标宋_GBK" w:cs="Times New Roman"/>
          <w:sz w:val="44"/>
          <w:szCs w:val="44"/>
        </w:rPr>
      </w:pPr>
    </w:p>
    <w:p w14:paraId="04621258">
      <w:pPr>
        <w:spacing w:line="600" w:lineRule="exact"/>
        <w:ind w:firstLine="880" w:firstLineChars="200"/>
        <w:rPr>
          <w:rFonts w:ascii="Times New Roman" w:hAnsi="Times New Roman" w:eastAsia="方正小标宋_GBK" w:cs="Times New Roman"/>
          <w:sz w:val="44"/>
          <w:szCs w:val="44"/>
        </w:rPr>
      </w:pPr>
    </w:p>
    <w:p w14:paraId="691E655D">
      <w:pPr>
        <w:spacing w:line="600" w:lineRule="exact"/>
        <w:ind w:firstLine="880" w:firstLineChars="200"/>
        <w:rPr>
          <w:rFonts w:ascii="Times New Roman" w:hAnsi="Times New Roman" w:eastAsia="方正小标宋_GBK" w:cs="Times New Roman"/>
          <w:sz w:val="44"/>
          <w:szCs w:val="44"/>
        </w:rPr>
      </w:pPr>
    </w:p>
    <w:p w14:paraId="643E4CCA">
      <w:pPr>
        <w:spacing w:line="600" w:lineRule="exact"/>
        <w:ind w:firstLine="880" w:firstLineChars="200"/>
        <w:rPr>
          <w:rFonts w:ascii="Times New Roman" w:hAnsi="Times New Roman" w:eastAsia="方正小标宋_GBK" w:cs="Times New Roman"/>
          <w:sz w:val="44"/>
          <w:szCs w:val="44"/>
        </w:rPr>
      </w:pPr>
    </w:p>
    <w:p w14:paraId="33893FCB">
      <w:pPr>
        <w:spacing w:line="600" w:lineRule="exact"/>
        <w:ind w:firstLine="880" w:firstLineChars="200"/>
        <w:rPr>
          <w:rFonts w:ascii="Times New Roman" w:hAnsi="Times New Roman" w:eastAsia="方正小标宋_GBK" w:cs="Times New Roman"/>
          <w:sz w:val="44"/>
          <w:szCs w:val="44"/>
        </w:rPr>
        <w:sectPr>
          <w:headerReference r:id="rId3" w:type="default"/>
          <w:footerReference r:id="rId5" w:type="default"/>
          <w:headerReference r:id="rId4" w:type="even"/>
          <w:footerReference r:id="rId6" w:type="even"/>
          <w:pgSz w:w="11906" w:h="16838"/>
          <w:pgMar w:top="1984" w:right="1446" w:bottom="1644" w:left="1446" w:header="851" w:footer="992" w:gutter="0"/>
          <w:cols w:space="0" w:num="1"/>
          <w:docGrid w:type="lines" w:linePitch="315" w:charSpace="0"/>
        </w:sectPr>
      </w:pPr>
    </w:p>
    <w:p w14:paraId="398A25CA">
      <w:pPr>
        <w:spacing w:line="600" w:lineRule="exact"/>
        <w:ind w:firstLine="880" w:firstLineChars="200"/>
        <w:rPr>
          <w:rFonts w:ascii="Times New Roman" w:hAnsi="Times New Roman" w:eastAsia="方正小标宋_GBK" w:cs="Times New Roman"/>
          <w:sz w:val="44"/>
          <w:szCs w:val="44"/>
        </w:rPr>
      </w:pPr>
      <w:r>
        <w:rPr>
          <w:rFonts w:ascii="Times New Roman" w:hAnsi="Times New Roman" w:eastAsia="方正小标宋_GBK" w:cs="Times New Roman"/>
          <w:sz w:val="44"/>
          <w:szCs w:val="44"/>
        </w:rPr>
        <w:t>第二部分：2026年部门预算公开报表</w:t>
      </w:r>
    </w:p>
    <w:p w14:paraId="17276B99">
      <w:pPr>
        <w:ind w:firstLine="640" w:firstLineChars="200"/>
        <w:rPr>
          <w:rFonts w:ascii="Times New Roman" w:hAnsi="Times New Roman" w:eastAsia="方正黑体_GBK" w:cs="Times New Roman"/>
          <w:sz w:val="32"/>
        </w:rPr>
      </w:pPr>
    </w:p>
    <w:p w14:paraId="648C5990">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2026年部门预算公开报表（详见附表</w:t>
      </w:r>
      <w:r>
        <w:rPr>
          <w:rFonts w:hint="eastAsia" w:ascii="Times New Roman" w:hAnsi="Times New Roman" w:eastAsia="方正仿宋_GBK" w:cs="Times New Roman"/>
          <w:sz w:val="32"/>
          <w:szCs w:val="32"/>
        </w:rPr>
        <w:t>重庆市开州区关面乡中心小学</w:t>
      </w:r>
      <w:r>
        <w:rPr>
          <w:rFonts w:ascii="Times New Roman" w:hAnsi="Times New Roman" w:eastAsia="方正仿宋_GBK" w:cs="Times New Roman"/>
          <w:sz w:val="32"/>
          <w:szCs w:val="32"/>
        </w:rPr>
        <w:t>2026年部门预算公开报表）</w:t>
      </w:r>
    </w:p>
    <w:p w14:paraId="49ED41D2">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部门预算公开联系人：</w:t>
      </w:r>
      <w:r>
        <w:rPr>
          <w:rFonts w:hint="eastAsia" w:ascii="Times New Roman" w:hAnsi="Times New Roman" w:eastAsia="方正仿宋_GBK" w:cs="Times New Roman"/>
          <w:sz w:val="32"/>
          <w:szCs w:val="32"/>
        </w:rPr>
        <w:t>谢圣兵</w:t>
      </w:r>
      <w:r>
        <w:rPr>
          <w:rFonts w:ascii="Times New Roman" w:hAnsi="Times New Roman" w:eastAsia="方正仿宋_GBK" w:cs="Times New Roman"/>
          <w:sz w:val="32"/>
          <w:szCs w:val="32"/>
        </w:rPr>
        <w:t xml:space="preserve">  联系方式：023-</w:t>
      </w:r>
      <w:r>
        <w:rPr>
          <w:rFonts w:hint="eastAsia" w:ascii="Times New Roman" w:hAnsi="Times New Roman" w:eastAsia="方正仿宋_GBK" w:cs="Times New Roman"/>
          <w:sz w:val="32"/>
          <w:szCs w:val="32"/>
        </w:rPr>
        <w:t>52444622</w:t>
      </w:r>
    </w:p>
    <w:p w14:paraId="6D2F5EA3">
      <w:pPr>
        <w:pStyle w:val="2"/>
      </w:pPr>
    </w:p>
    <w:p w14:paraId="63C50765">
      <w:pPr>
        <w:spacing w:line="594" w:lineRule="exact"/>
        <w:ind w:firstLine="640" w:firstLineChars="200"/>
        <w:rPr>
          <w:rFonts w:ascii="Times New Roman" w:hAnsi="Times New Roman" w:eastAsia="方正仿宋_GBK" w:cs="Times New Roman"/>
          <w:sz w:val="32"/>
          <w:szCs w:val="32"/>
        </w:rPr>
      </w:pPr>
    </w:p>
    <w:p w14:paraId="675DDA8C">
      <w:pPr>
        <w:spacing w:line="594" w:lineRule="exact"/>
        <w:ind w:firstLine="640" w:firstLineChars="200"/>
        <w:rPr>
          <w:rFonts w:ascii="Times New Roman" w:hAnsi="Times New Roman" w:eastAsia="方正仿宋_GBK" w:cs="Times New Roman"/>
          <w:sz w:val="32"/>
          <w:szCs w:val="32"/>
        </w:rPr>
      </w:pPr>
    </w:p>
    <w:p w14:paraId="7606F786">
      <w:pPr>
        <w:pStyle w:val="2"/>
      </w:pPr>
    </w:p>
    <w:p w14:paraId="259FC67B"/>
    <w:p w14:paraId="1C73294A">
      <w:pPr>
        <w:pStyle w:val="2"/>
      </w:pPr>
    </w:p>
    <w:p w14:paraId="78BB7D1A">
      <w:pPr>
        <w:spacing w:line="594" w:lineRule="exact"/>
        <w:ind w:firstLine="640" w:firstLineChars="200"/>
        <w:rPr>
          <w:rFonts w:ascii="Times New Roman" w:hAnsi="Times New Roman" w:eastAsia="方正仿宋_GBK" w:cs="Times New Roman"/>
          <w:sz w:val="32"/>
          <w:szCs w:val="32"/>
        </w:rPr>
      </w:pPr>
    </w:p>
    <w:p w14:paraId="67F62B5F">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重庆市开州区关面乡中心小学</w:t>
      </w:r>
    </w:p>
    <w:p w14:paraId="44481BF7">
      <w:pPr>
        <w:spacing w:line="594" w:lineRule="exact"/>
        <w:ind w:firstLine="640" w:firstLineChars="200"/>
        <w:rPr>
          <w:rFonts w:ascii="Times New Roman" w:hAnsi="Times New Roman" w:eastAsia="方正仿宋_GBK" w:cs="Times New Roman"/>
          <w:sz w:val="32"/>
          <w:szCs w:val="32"/>
        </w:rPr>
      </w:pP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w:t>
      </w:r>
      <w:r>
        <w:rPr>
          <w:rFonts w:hint="eastAsia" w:ascii="Times New Roman" w:hAnsi="Times New Roman" w:eastAsia="方正仿宋_GBK" w:cs="Times New Roman"/>
          <w:sz w:val="32"/>
          <w:szCs w:val="32"/>
        </w:rPr>
        <w:t xml:space="preserve">  </w:t>
      </w:r>
      <w:r>
        <w:rPr>
          <w:rFonts w:ascii="Times New Roman" w:hAnsi="Times New Roman" w:eastAsia="方正仿宋_GBK" w:cs="Times New Roman"/>
          <w:sz w:val="32"/>
          <w:szCs w:val="32"/>
        </w:rPr>
        <w:t xml:space="preserve">     2026年3月1</w:t>
      </w:r>
      <w:r>
        <w:rPr>
          <w:rFonts w:hint="eastAsia" w:ascii="Times New Roman" w:hAnsi="Times New Roman" w:eastAsia="方正仿宋_GBK" w:cs="Times New Roman"/>
          <w:sz w:val="32"/>
          <w:szCs w:val="32"/>
          <w:lang w:val="en-US" w:eastAsia="zh-CN"/>
        </w:rPr>
        <w:t>1</w:t>
      </w:r>
      <w:r>
        <w:rPr>
          <w:rFonts w:ascii="Times New Roman" w:hAnsi="Times New Roman" w:eastAsia="方正仿宋_GBK" w:cs="Times New Roman"/>
          <w:sz w:val="32"/>
          <w:szCs w:val="32"/>
        </w:rPr>
        <w:t>日</w:t>
      </w:r>
    </w:p>
    <w:p w14:paraId="2A848B9A">
      <w:pPr>
        <w:spacing w:line="594" w:lineRule="exact"/>
        <w:ind w:firstLine="640" w:firstLineChars="200"/>
      </w:pPr>
      <w:r>
        <w:rPr>
          <w:rFonts w:ascii="Times New Roman" w:hAnsi="Times New Roman" w:eastAsia="方正仿宋_GBK" w:cs="Times New Roman"/>
          <w:sz w:val="32"/>
          <w:szCs w:val="32"/>
        </w:rPr>
        <w:t xml:space="preserve">                     </w:t>
      </w:r>
    </w:p>
    <w:p w14:paraId="3209D0EA">
      <w:pPr>
        <w:spacing w:line="640" w:lineRule="exact"/>
        <w:jc w:val="center"/>
        <w:rPr>
          <w:rFonts w:ascii="Times New Roman" w:hAnsi="Times New Roman" w:eastAsia="方正仿宋_GBK" w:cs="Times New Roman"/>
          <w:sz w:val="32"/>
          <w:szCs w:val="32"/>
        </w:rPr>
      </w:pPr>
    </w:p>
    <w:p w14:paraId="617BB8FB">
      <w:pPr>
        <w:tabs>
          <w:tab w:val="left" w:pos="1440"/>
        </w:tabs>
        <w:spacing w:line="640" w:lineRule="exact"/>
        <w:rPr>
          <w:rFonts w:ascii="Times New Roman" w:hAnsi="Times New Roman" w:eastAsia="方正仿宋_GBK" w:cs="Times New Roman"/>
          <w:sz w:val="32"/>
          <w:szCs w:val="32"/>
        </w:rPr>
      </w:pPr>
      <w:r>
        <w:rPr>
          <w:rFonts w:ascii="Times New Roman" w:hAnsi="Times New Roman" w:eastAsia="方正仿宋_GBK" w:cs="Times New Roman"/>
          <w:sz w:val="32"/>
          <w:szCs w:val="32"/>
        </w:rPr>
        <w:tab/>
      </w:r>
    </w:p>
    <w:p w14:paraId="56B65F93">
      <w:pPr>
        <w:overflowPunct w:val="0"/>
        <w:spacing w:line="480" w:lineRule="exact"/>
        <w:ind w:firstLine="840" w:firstLineChars="300"/>
        <w:jc w:val="left"/>
        <w:rPr>
          <w:rFonts w:ascii="Times New Roman" w:hAnsi="Times New Roman" w:eastAsia="方正黑体_GBK" w:cs="Times New Roman"/>
          <w:sz w:val="32"/>
          <w:szCs w:val="32"/>
        </w:rPr>
      </w:pPr>
      <w:r>
        <w:rPr>
          <w:rFonts w:ascii="Times New Roman" w:hAnsi="Times New Roman" w:eastAsia="方正仿宋_GBK" w:cs="Times New Roman"/>
          <w:kern w:val="0"/>
          <w:sz w:val="28"/>
          <w:szCs w:val="28"/>
        </w:rPr>
        <mc:AlternateContent>
          <mc:Choice Requires="wps">
            <w:drawing>
              <wp:anchor distT="0" distB="0" distL="114300" distR="114300" simplePos="0" relativeHeight="251659264" behindDoc="0" locked="0" layoutInCell="1" allowOverlap="1">
                <wp:simplePos x="0" y="0"/>
                <wp:positionH relativeFrom="margin">
                  <wp:posOffset>52070</wp:posOffset>
                </wp:positionH>
                <wp:positionV relativeFrom="paragraph">
                  <wp:posOffset>342900</wp:posOffset>
                </wp:positionV>
                <wp:extent cx="5688330" cy="22860"/>
                <wp:effectExtent l="0" t="4445" r="11430" b="18415"/>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88330" cy="2286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4.1pt;margin-top:27pt;height:1.8pt;width:447.9pt;mso-position-horizontal-relative:margin;z-index:251659264;mso-width-relative:page;mso-height-relative:page;" filled="f" stroked="t" coordsize="21600,21600" o:gfxdata="UEsDBAoAAAAAAIdO4kAAAAAAAAAAAAAAAAAEAAAAZHJzL1BLAwQUAAAACACHTuJANCU/rNUAAAAH&#10;AQAADwAAAGRycy9kb3ducmV2LnhtbE2PT0/DMAzF70h8h8hIXCaWrMAYpekOQG9cNkBcvca0FY3T&#10;Ndkf+PR4J7jZfk/Pv1csj75XexpjF9jCbGpAEdfBddxYeHutrhagYkJ22AcmC98UYVmenxWYu3Dg&#10;Fe3XqVESwjFHC21KQ651rFvyGKdhIBbtM4wek6xjo92IBwn3vc6MmWuPHcuHFgd6bKn+Wu+8hVi9&#10;07b6mdQT83HdBMq2Ty/PaO3lxcw8gEp0TH9mOOELOpTCtAk7dlH1FhaZGC3c3kgjke/NadjI4W4O&#10;uiz0f/7yF1BLAwQUAAAACACHTuJAKsMbqe4BAAC8AwAADgAAAGRycy9lMm9Eb2MueG1srVPNbhMx&#10;EL4j8Q6W72STrRKFVTY9JCqXApVaHsDxerMWtsfyONnkJXgBJG5w4sidt2l5DMbOD6VcemAPlscz&#10;881838zOLnfWsK0KqMHVfDQYcqachEa7dc0/3F29mnKGUbhGGHCq5nuF/HL+8sWs95UqoQPTqMAI&#10;xGHV+5p3MfqqKFB2ygocgFeOnC0EKyKZYV00QfSEbk1RDoeToofQ+ABSIdLr8uDkR8TwHEBoWy3V&#10;EuTGKhcPqEEZEYkSdtojn+du21bJ+L5tUUVmak5MYz6pCN1X6SzmM1Gtg/CdlscWxHNaeMLJCu2o&#10;6BlqKaJgm6D/gbJaBkBo40CCLQ5EsiLEYjR8os1tJ7zKXEhq9GfR8f/Bynfbm8B0U/OSMycsDfzh&#10;84/7T19//fxC58P3b6xMIvUeK4pduJuQaMqdu/XXID8ic7DohFur3Ozd3hPCKGUUf6UkAz2VWvVv&#10;oaEYsYmQFdu1wSZI0oLt8mD258GoXWSSHseT6fTigmYmyVeW00keXCGqU7IPGN8osCxdam60S7qJ&#10;SmyvMaZmRHUKSc8OrrQxefbGsb7mr8flOCcgGN0kZwrDsF4tTGBbkbYnf5kZeR6HBdi45lDEuJSn&#10;8uIdK5+YHzRcQbO/CSd5aKi5t+MCpq15bGcR//x08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BcBAAAW0NvbnRlbnRfVHlwZXNdLnhtbFBLAQIU&#10;AAoAAAAAAIdO4kAAAAAAAAAAAAAAAAAGAAAAAAAAAAAAEAAAAD4DAABfcmVscy9QSwECFAAUAAAA&#10;CACHTuJAihRmPNEAAACUAQAACwAAAAAAAAABACAAAABiAwAAX3JlbHMvLnJlbHNQSwECFAAKAAAA&#10;AACHTuJAAAAAAAAAAAAAAAAABAAAAAAAAAAAABAAAAAAAAAAZHJzL1BLAQIUABQAAAAIAIdO4kA0&#10;JT+s1QAAAAcBAAAPAAAAAAAAAAEAIAAAACIAAABkcnMvZG93bnJldi54bWxQSwECFAAUAAAACACH&#10;TuJAKsMbqe4BAAC8AwAADgAAAAAAAAABACAAAAAkAQAAZHJzL2Uyb0RvYy54bWxQSwUGAAAAAAYA&#10;BgBZAQAAhAUAAAAA&#10;">
                <v:fill on="f" focussize="0,0"/>
                <v:stroke color="#000000" joinstyle="round"/>
                <v:imagedata o:title=""/>
                <o:lock v:ext="edit" aspectratio="f"/>
              </v:line>
            </w:pict>
          </mc:Fallback>
        </mc:AlternateContent>
      </w:r>
      <w:r>
        <w:rPr>
          <w:rFonts w:ascii="Times New Roman" w:hAnsi="Times New Roman" w:eastAsia="方正仿宋_GBK" w:cs="Times New Roman"/>
          <w:sz w:val="32"/>
          <w:szCs w:val="32"/>
        </w:rPr>
        <w:t xml:space="preserve"> </w:t>
      </w:r>
      <w:r>
        <w:rPr>
          <w:rFonts w:ascii="Times New Roman" w:hAnsi="Times New Roman" w:eastAsia="方正仿宋_GBK" w:cs="Times New Roman"/>
          <w:kern w:val="0"/>
          <w:sz w:val="28"/>
          <w:szCs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13335</wp:posOffset>
                </wp:positionV>
                <wp:extent cx="5615940" cy="0"/>
                <wp:effectExtent l="0" t="4445" r="0" b="508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top:1.05pt;height:0pt;width:442.2pt;mso-position-horizontal:center;mso-position-horizontal-relative:margin;z-index:251660288;mso-width-relative:page;mso-height-relative:page;" filled="f" stroked="t" coordsize="21600,21600" o:gfxdata="UEsDBAoAAAAAAIdO4kAAAAAAAAAAAAAAAAAEAAAAZHJzL1BLAwQUAAAACACHTuJAD17UANIAAAAE&#10;AQAADwAAAGRycy9kb3ducmV2LnhtbE2PvU7EMBCEeyTewVokmhNnJ5xQFLK5AkhHwwGi3YuXJCJe&#10;52LfDzw9hgbK0YxmvqnWJzeqA89h8IKQLQ0oltbbQTqEl+fmqgAVIoml0QsjfHKAdX1+VlFp/VGe&#10;+LCJnUolEkpC6GOcSq1D27OjsPQTS/Le/ewoJjl32s50TOVu1LkxN9rRIGmhp4nvem4/NnuHEJpX&#10;3jVfi3Zh3q47z/nu/vGBEC8vMnMLKvIp/oXhBz+hQ52Ytn4vNqgRIR2JCHkGKplFsVqB2v5qXVf6&#10;P3z9DVBLAwQUAAAACACHTuJAVEHD3OgBAAC4AwAADgAAAGRycy9lMm9Eb2MueG1srVOxjhMxEO2R&#10;+AfLPdkkIidulc0ViY7mgEh3fIDj9WYtbI/lcbKbn+AHkOigoqTnbzg+g7E3CdzRXMEWlj3z5s3M&#10;m9n5VW8N26uAGlzFJ6MxZ8pJqLXbVvz93fWLV5xhFK4WBpyq+EEhv1o8fzbvfKmm0IKpVWBE4rDs&#10;fMXbGH1ZFChbZQWOwCtHzgaCFZGeYVvUQXTEbk0xHY8vig5C7QNIhUjW1eDkR8bwFEJoGi3VCuTO&#10;KhcH1qCMiNQSttojX+Rqm0bJ+K5pUEVmKk6dxnxSErpv0lks5qLcBuFbLY8liKeU8KgnK7SjpGeq&#10;lYiC7YL+h8pqGQChiSMJthgayYpQF5PxI21uW+FV7oWkRn8WHf8frXy7Xwema9oEzpywNPD7T99/&#10;fvzy68dnOu+/fWWTJFLnsSTs0q1DalP27tbfgPyAzMGyFW6rcrF3B08MOaJ4EJIe6CnVpnsDNWHE&#10;LkJWrG+CTZSkBevzYA7nwag+MknG2cVkdvmSZiZPvkKUp0AfML5WYFm6VNxolzQTpdjfYKTSCXqC&#10;JLODa21MnrtxrKv45Ww6ywEIRtfJmWAYtpulCWwv0ubkL+lAZA9gAXauHuzGpTiVl+6Y+dT1oN8G&#10;6sM6JHCy00Az3XH50sb8/c6oPz/c4j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APXtQA0gAAAAQB&#10;AAAPAAAAAAAAAAEAIAAAACIAAABkcnMvZG93bnJldi54bWxQSwECFAAUAAAACACHTuJAVEHD3OgB&#10;AAC4AwAADgAAAAAAAAABACAAAAAhAQAAZHJzL2Uyb0RvYy54bWxQSwUGAAAAAAYABgBZAQAAewUA&#10;AAAA&#10;">
                <v:fill on="f" focussize="0,0"/>
                <v:stroke color="#000000" joinstyle="round"/>
                <v:imagedata o:title=""/>
                <o:lock v:ext="edit" aspectratio="f"/>
              </v:line>
            </w:pict>
          </mc:Fallback>
        </mc:AlternateContent>
      </w:r>
      <w:r>
        <w:rPr>
          <w:rFonts w:hint="eastAsia" w:ascii="Times New Roman" w:hAnsi="Times New Roman" w:eastAsia="方正仿宋_GBK" w:cs="Times New Roman"/>
          <w:kern w:val="0"/>
          <w:sz w:val="28"/>
          <w:szCs w:val="28"/>
        </w:rPr>
        <w:t>重庆市开州区关面乡中心小学</w:t>
      </w:r>
      <w:r>
        <w:rPr>
          <w:rFonts w:ascii="Times New Roman" w:hAnsi="Times New Roman" w:eastAsia="方正仿宋_GBK" w:cs="Times New Roman"/>
          <w:kern w:val="0"/>
          <w:sz w:val="28"/>
          <w:szCs w:val="28"/>
        </w:rPr>
        <w:t>办公室　   2026年3月1</w:t>
      </w:r>
      <w:r>
        <w:rPr>
          <w:rFonts w:hint="eastAsia" w:ascii="Times New Roman" w:hAnsi="Times New Roman" w:eastAsia="方正仿宋_GBK" w:cs="Times New Roman"/>
          <w:kern w:val="0"/>
          <w:sz w:val="28"/>
          <w:szCs w:val="28"/>
          <w:lang w:val="en-US" w:eastAsia="zh-CN"/>
        </w:rPr>
        <w:t>1</w:t>
      </w:r>
      <w:bookmarkStart w:id="1" w:name="_GoBack"/>
      <w:bookmarkEnd w:id="1"/>
      <w:r>
        <w:rPr>
          <w:rFonts w:ascii="Times New Roman" w:hAnsi="Times New Roman" w:eastAsia="方正仿宋_GBK" w:cs="Times New Roman"/>
          <w:kern w:val="0"/>
          <w:sz w:val="28"/>
          <w:szCs w:val="28"/>
        </w:rPr>
        <w:t>日印发</w:t>
      </w:r>
    </w:p>
    <w:sectPr>
      <w:pgSz w:w="11906" w:h="16838"/>
      <w:pgMar w:top="1984" w:right="1446" w:bottom="1644" w:left="1446" w:header="851" w:footer="992" w:gutter="0"/>
      <w:cols w:space="0" w:num="1"/>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embedRegular r:id="rId1" w:fontKey="{C469C5FB-2863-4AD1-9932-964F6C370A56}"/>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2" w:fontKey="{114E5D98-9E7B-45AD-84A9-23FF6D5D40DD}"/>
  </w:font>
  <w:font w:name="Arial">
    <w:panose1 w:val="020B0604020202020204"/>
    <w:charset w:val="00"/>
    <w:family w:val="swiss"/>
    <w:pitch w:val="default"/>
    <w:sig w:usb0="E0002EFF" w:usb1="C000785B" w:usb2="00000009" w:usb3="00000000" w:csb0="400001FF" w:csb1="FFFF0000"/>
  </w:font>
  <w:font w:name="仿宋_GB2312">
    <w:panose1 w:val="02010609030101010101"/>
    <w:charset w:val="86"/>
    <w:family w:val="modern"/>
    <w:pitch w:val="default"/>
    <w:sig w:usb0="00000001" w:usb1="080E0000" w:usb2="00000000" w:usb3="00000000" w:csb0="00040000" w:csb1="00000000"/>
    <w:embedRegular r:id="rId3" w:fontKey="{86260794-3BBF-4AD7-A821-7802ED1C4003}"/>
  </w:font>
  <w:font w:name="方正黑体_GBK">
    <w:panose1 w:val="03000509000000000000"/>
    <w:charset w:val="86"/>
    <w:family w:val="script"/>
    <w:pitch w:val="default"/>
    <w:sig w:usb0="00000001" w:usb1="080E0000" w:usb2="00000000" w:usb3="00000000" w:csb0="00040000" w:csb1="00000000"/>
    <w:embedRegular r:id="rId4" w:fontKey="{6EF89D25-1B03-4022-BB81-D0941703CBD7}"/>
  </w:font>
  <w:font w:name="方正仿宋_GBK">
    <w:panose1 w:val="03000509000000000000"/>
    <w:charset w:val="86"/>
    <w:family w:val="script"/>
    <w:pitch w:val="default"/>
    <w:sig w:usb0="00000001" w:usb1="080E0000" w:usb2="00000000" w:usb3="00000000" w:csb0="00040000" w:csb1="00000000"/>
    <w:embedRegular r:id="rId5" w:fontKey="{B7964352-3BC3-4870-AAB5-DEDB8D92D1F8}"/>
  </w:font>
  <w:font w:name="方正小标宋_GBK">
    <w:panose1 w:val="03000509000000000000"/>
    <w:charset w:val="86"/>
    <w:family w:val="script"/>
    <w:pitch w:val="default"/>
    <w:sig w:usb0="00000001" w:usb1="080E0000" w:usb2="00000000" w:usb3="00000000" w:csb0="00040000" w:csb1="00000000"/>
    <w:embedRegular r:id="rId6" w:fontKey="{F24032D2-CFB7-46A0-982D-DA901B50F6C6}"/>
  </w:font>
  <w:font w:name="方正楷体_GBK">
    <w:panose1 w:val="03000509000000000000"/>
    <w:charset w:val="86"/>
    <w:family w:val="script"/>
    <w:pitch w:val="default"/>
    <w:sig w:usb0="00000001" w:usb1="080E0000" w:usb2="00000000" w:usb3="00000000" w:csb0="00040000" w:csb1="00000000"/>
    <w:embedRegular r:id="rId7" w:fontKey="{4D1B356E-B526-491F-A2A5-4AF83FFB370A}"/>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embedRegular r:id="rId8" w:fontKey="{B6605CF8-9F07-4FA4-9E64-A0C1998B6A61}"/>
  </w:font>
  <w:font w:name="华文中宋">
    <w:panose1 w:val="02010600040101010101"/>
    <w:charset w:val="86"/>
    <w:family w:val="auto"/>
    <w:pitch w:val="default"/>
    <w:sig w:usb0="00000287" w:usb1="080F0000" w:usb2="00000000" w:usb3="00000000" w:csb0="0004009F" w:csb1="DFD70000"/>
    <w:embedRegular r:id="rId9" w:fontKey="{85B73B17-A9ED-4835-B092-8686A6E0D3C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BFECAB">
    <w:pPr>
      <w:pStyle w:val="4"/>
      <w:wordWrap w:val="0"/>
      <w:ind w:right="128" w:rightChars="61"/>
      <w:jc w:val="right"/>
    </w:pPr>
    <w:r>
      <w:rPr>
        <w:rStyle w:val="8"/>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9</w:t>
    </w:r>
    <w:r>
      <w:rPr>
        <w:rFonts w:ascii="宋体" w:hAnsi="宋体" w:eastAsia="宋体"/>
        <w:sz w:val="28"/>
        <w:szCs w:val="28"/>
      </w:rPr>
      <w:fldChar w:fldCharType="end"/>
    </w:r>
    <w:r>
      <w:rPr>
        <w:rFonts w:hint="eastAsia" w:ascii="宋体" w:hAnsi="宋体" w:eastAsia="宋体"/>
        <w:sz w:val="28"/>
        <w:szCs w:val="28"/>
      </w:rPr>
      <w:t xml:space="preserve"> </w:t>
    </w:r>
    <w:r>
      <w:rPr>
        <w:rStyle w:val="8"/>
        <w:rFonts w:hint="eastAsia" w:ascii="宋体" w:hAnsi="宋体" w:eastAsia="宋体"/>
        <w:sz w:val="28"/>
        <w:szCs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40318D">
    <w:pPr>
      <w:pStyle w:val="4"/>
      <w:tabs>
        <w:tab w:val="left" w:pos="426"/>
      </w:tabs>
      <w:wordWrap w:val="0"/>
      <w:ind w:left="279" w:leftChars="133" w:right="560"/>
    </w:pPr>
    <w:r>
      <w:rPr>
        <w:rStyle w:val="8"/>
        <w:rFonts w:hint="eastAsia" w:ascii="宋体" w:hAnsi="宋体" w:eastAsia="宋体"/>
        <w:sz w:val="28"/>
        <w:szCs w:val="28"/>
      </w:rPr>
      <w:t xml:space="preserve">— </w:t>
    </w:r>
    <w:r>
      <w:rPr>
        <w:rFonts w:ascii="宋体" w:hAnsi="宋体" w:eastAsia="宋体"/>
        <w:sz w:val="28"/>
        <w:szCs w:val="28"/>
      </w:rPr>
      <w:fldChar w:fldCharType="begin"/>
    </w:r>
    <w:r>
      <w:rPr>
        <w:rFonts w:ascii="宋体" w:hAnsi="宋体" w:eastAsia="宋体"/>
        <w:sz w:val="28"/>
        <w:szCs w:val="28"/>
      </w:rPr>
      <w:instrText xml:space="preserve"> PAGE   \* MERGEFORMAT </w:instrText>
    </w:r>
    <w:r>
      <w:rPr>
        <w:rFonts w:ascii="宋体" w:hAnsi="宋体" w:eastAsia="宋体"/>
        <w:sz w:val="28"/>
        <w:szCs w:val="28"/>
      </w:rPr>
      <w:fldChar w:fldCharType="separate"/>
    </w:r>
    <w:r>
      <w:rPr>
        <w:rFonts w:ascii="宋体" w:hAnsi="宋体" w:eastAsia="宋体"/>
        <w:sz w:val="28"/>
        <w:szCs w:val="28"/>
        <w:lang w:val="zh-CN"/>
      </w:rPr>
      <w:t>10</w:t>
    </w:r>
    <w:r>
      <w:rPr>
        <w:rFonts w:ascii="宋体" w:hAnsi="宋体" w:eastAsia="宋体"/>
        <w:sz w:val="28"/>
        <w:szCs w:val="28"/>
      </w:rPr>
      <w:fldChar w:fldCharType="end"/>
    </w:r>
    <w:r>
      <w:rPr>
        <w:rFonts w:hint="eastAsia" w:ascii="宋体" w:hAnsi="宋体" w:eastAsia="宋体"/>
        <w:sz w:val="28"/>
        <w:szCs w:val="28"/>
      </w:rPr>
      <w:t xml:space="preserve"> </w:t>
    </w:r>
    <w:r>
      <w:rPr>
        <w:rStyle w:val="8"/>
        <w:rFonts w:hint="eastAsia" w:ascii="宋体" w:hAnsi="宋体" w:eastAsia="宋体"/>
        <w:sz w:val="28"/>
        <w:szCs w:val="2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CB7CD7">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944449">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evenAndOddHeaders w:val="1"/>
  <w:drawingGridVerticalSpacing w:val="160"/>
  <w:displayVerticalDrawingGridEvery w:val="2"/>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375"/>
    <w:rsid w:val="00106F71"/>
    <w:rsid w:val="002F57B0"/>
    <w:rsid w:val="00361EBC"/>
    <w:rsid w:val="00384B03"/>
    <w:rsid w:val="003C2B89"/>
    <w:rsid w:val="003F3886"/>
    <w:rsid w:val="004A0E26"/>
    <w:rsid w:val="006530A2"/>
    <w:rsid w:val="0068795D"/>
    <w:rsid w:val="006F5042"/>
    <w:rsid w:val="008860FE"/>
    <w:rsid w:val="00977375"/>
    <w:rsid w:val="00CC1D51"/>
    <w:rsid w:val="00CE0D54"/>
    <w:rsid w:val="06EF3697"/>
    <w:rsid w:val="0DC42165"/>
    <w:rsid w:val="130A53DA"/>
    <w:rsid w:val="14D02450"/>
    <w:rsid w:val="18215731"/>
    <w:rsid w:val="18470C73"/>
    <w:rsid w:val="1A0260C8"/>
    <w:rsid w:val="1A394516"/>
    <w:rsid w:val="1C097A48"/>
    <w:rsid w:val="20BB050A"/>
    <w:rsid w:val="2165030C"/>
    <w:rsid w:val="22915337"/>
    <w:rsid w:val="24452828"/>
    <w:rsid w:val="25A96130"/>
    <w:rsid w:val="2AC07339"/>
    <w:rsid w:val="2E156CED"/>
    <w:rsid w:val="2FA986A4"/>
    <w:rsid w:val="33CD3272"/>
    <w:rsid w:val="3476022F"/>
    <w:rsid w:val="36162CAE"/>
    <w:rsid w:val="37DC4385"/>
    <w:rsid w:val="382F6B8A"/>
    <w:rsid w:val="3893537C"/>
    <w:rsid w:val="3B3A52F0"/>
    <w:rsid w:val="3E107FEA"/>
    <w:rsid w:val="3E68075C"/>
    <w:rsid w:val="3EEA231B"/>
    <w:rsid w:val="40E304B3"/>
    <w:rsid w:val="435D3B94"/>
    <w:rsid w:val="43F9087A"/>
    <w:rsid w:val="449E5D1C"/>
    <w:rsid w:val="45F374F8"/>
    <w:rsid w:val="4626161E"/>
    <w:rsid w:val="49A81EF5"/>
    <w:rsid w:val="4AA6018F"/>
    <w:rsid w:val="4B6A3306"/>
    <w:rsid w:val="4D51623B"/>
    <w:rsid w:val="4F1109AE"/>
    <w:rsid w:val="504273BB"/>
    <w:rsid w:val="50861ADC"/>
    <w:rsid w:val="53E430CC"/>
    <w:rsid w:val="57E20494"/>
    <w:rsid w:val="61704203"/>
    <w:rsid w:val="63834582"/>
    <w:rsid w:val="63D20F4B"/>
    <w:rsid w:val="65AC124F"/>
    <w:rsid w:val="670C1AB4"/>
    <w:rsid w:val="67BF2512"/>
    <w:rsid w:val="6AE21243"/>
    <w:rsid w:val="6E752B8D"/>
    <w:rsid w:val="6ED14BF3"/>
    <w:rsid w:val="74C94B5B"/>
    <w:rsid w:val="77B52F1F"/>
    <w:rsid w:val="78205B3F"/>
    <w:rsid w:val="79467174"/>
    <w:rsid w:val="7973709D"/>
    <w:rsid w:val="7A280C99"/>
    <w:rsid w:val="7FDF7D5D"/>
    <w:rsid w:val="7FFF87B8"/>
    <w:rsid w:val="C3C2636B"/>
    <w:rsid w:val="C67BDFFE"/>
    <w:rsid w:val="EDFA4F20"/>
    <w:rsid w:val="EF7DA69E"/>
    <w:rsid w:val="FAAF5353"/>
    <w:rsid w:val="FBBF4C8C"/>
    <w:rsid w:val="FFFFC80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qFormat/>
    <w:uiPriority w:val="0"/>
    <w:pPr>
      <w:spacing w:before="280" w:after="290" w:line="372" w:lineRule="auto"/>
      <w:outlineLvl w:val="3"/>
    </w:pPr>
    <w:rPr>
      <w:rFonts w:ascii="Arial" w:hAnsi="Arial" w:eastAsia="黑体"/>
      <w:sz w:val="28"/>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Body Text Indent"/>
    <w:basedOn w:val="1"/>
    <w:qFormat/>
    <w:uiPriority w:val="0"/>
    <w:pPr>
      <w:ind w:firstLine="640" w:firstLineChars="200"/>
    </w:pPr>
    <w:rPr>
      <w:rFonts w:ascii="仿宋_GB2312" w:eastAsia="仿宋_GB2312"/>
      <w:sz w:val="32"/>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8">
    <w:name w:val="page number"/>
    <w:semiHidden/>
    <w:qFormat/>
    <w:uiPriority w:val="0"/>
  </w:style>
  <w:style w:type="character" w:customStyle="1" w:styleId="9">
    <w:name w:val="font21"/>
    <w:basedOn w:val="7"/>
    <w:qFormat/>
    <w:uiPriority w:val="0"/>
    <w:rPr>
      <w:rFonts w:hint="eastAsia" w:ascii="方正黑体_GBK" w:hAnsi="方正黑体_GBK" w:eastAsia="方正黑体_GBK" w:cs="方正黑体_GBK"/>
      <w:color w:val="000000"/>
      <w:sz w:val="24"/>
      <w:szCs w:val="24"/>
      <w:u w:val="none"/>
    </w:rPr>
  </w:style>
  <w:style w:type="character" w:customStyle="1" w:styleId="10">
    <w:name w:val="font31"/>
    <w:basedOn w:val="7"/>
    <w:qFormat/>
    <w:uiPriority w:val="0"/>
    <w:rPr>
      <w:rFonts w:hint="default" w:ascii="Times New Roman" w:hAnsi="Times New Roman" w:cs="Times New Roman"/>
      <w:color w:val="000000"/>
      <w:sz w:val="24"/>
      <w:szCs w:val="24"/>
      <w:u w:val="none"/>
    </w:rPr>
  </w:style>
  <w:style w:type="character" w:customStyle="1" w:styleId="11">
    <w:name w:val="font41"/>
    <w:basedOn w:val="7"/>
    <w:qFormat/>
    <w:uiPriority w:val="0"/>
    <w:rPr>
      <w:rFonts w:ascii="方正仿宋_GBK" w:hAnsi="方正仿宋_GBK" w:eastAsia="方正仿宋_GBK" w:cs="方正仿宋_GBK"/>
      <w:color w:val="000000"/>
      <w:sz w:val="24"/>
      <w:szCs w:val="24"/>
      <w:u w:val="none"/>
    </w:rPr>
  </w:style>
  <w:style w:type="character" w:customStyle="1" w:styleId="12">
    <w:name w:val="font121"/>
    <w:basedOn w:val="7"/>
    <w:qFormat/>
    <w:uiPriority w:val="0"/>
    <w:rPr>
      <w:rFonts w:hint="eastAsia" w:ascii="宋体" w:hAnsi="宋体" w:eastAsia="宋体" w:cs="宋体"/>
      <w:color w:val="000000"/>
      <w:sz w:val="22"/>
      <w:szCs w:val="22"/>
      <w:u w:val="none"/>
    </w:rPr>
  </w:style>
  <w:style w:type="character" w:customStyle="1" w:styleId="13">
    <w:name w:val="font91"/>
    <w:basedOn w:val="7"/>
    <w:qFormat/>
    <w:uiPriority w:val="0"/>
    <w:rPr>
      <w:rFonts w:ascii="方正黑体_GBK" w:hAnsi="方正黑体_GBK" w:eastAsia="方正黑体_GBK" w:cs="方正黑体_GBK"/>
      <w:color w:val="000000"/>
      <w:sz w:val="22"/>
      <w:szCs w:val="22"/>
      <w:u w:val="none"/>
    </w:rPr>
  </w:style>
  <w:style w:type="character" w:customStyle="1" w:styleId="14">
    <w:name w:val="font101"/>
    <w:basedOn w:val="7"/>
    <w:qFormat/>
    <w:uiPriority w:val="0"/>
    <w:rPr>
      <w:rFonts w:ascii="方正小标宋_GBK" w:hAnsi="方正小标宋_GBK" w:eastAsia="方正小标宋_GBK" w:cs="方正小标宋_GBK"/>
      <w:color w:val="000000"/>
      <w:sz w:val="40"/>
      <w:szCs w:val="40"/>
      <w:u w:val="none"/>
    </w:rPr>
  </w:style>
  <w:style w:type="character" w:customStyle="1" w:styleId="15">
    <w:name w:val="font112"/>
    <w:basedOn w:val="7"/>
    <w:qFormat/>
    <w:uiPriority w:val="0"/>
    <w:rPr>
      <w:rFonts w:hint="eastAsia" w:ascii="宋体" w:hAnsi="宋体" w:eastAsia="宋体" w:cs="宋体"/>
      <w:b/>
      <w:bCs/>
      <w:color w:val="000000"/>
      <w:sz w:val="22"/>
      <w:szCs w:val="22"/>
      <w:u w:val="none"/>
    </w:rPr>
  </w:style>
  <w:style w:type="character" w:customStyle="1" w:styleId="16">
    <w:name w:val="font61"/>
    <w:basedOn w:val="7"/>
    <w:qFormat/>
    <w:uiPriority w:val="0"/>
    <w:rPr>
      <w:rFonts w:ascii="方正黑体_GBK" w:hAnsi="方正黑体_GBK" w:eastAsia="方正黑体_GBK" w:cs="方正黑体_GBK"/>
      <w:color w:val="000000"/>
      <w:sz w:val="22"/>
      <w:szCs w:val="22"/>
      <w:u w:val="none"/>
    </w:rPr>
  </w:style>
  <w:style w:type="character" w:customStyle="1" w:styleId="17">
    <w:name w:val="font71"/>
    <w:basedOn w:val="7"/>
    <w:qFormat/>
    <w:uiPriority w:val="0"/>
    <w:rPr>
      <w:rFonts w:ascii="方正小标宋_GBK" w:hAnsi="方正小标宋_GBK" w:eastAsia="方正小标宋_GBK" w:cs="方正小标宋_GBK"/>
      <w:color w:val="000000"/>
      <w:sz w:val="40"/>
      <w:szCs w:val="40"/>
      <w:u w:val="none"/>
    </w:rPr>
  </w:style>
  <w:style w:type="character" w:customStyle="1" w:styleId="18">
    <w:name w:val="font81"/>
    <w:basedOn w:val="7"/>
    <w:qFormat/>
    <w:uiPriority w:val="0"/>
    <w:rPr>
      <w:rFonts w:ascii="方正楷体_GBK" w:hAnsi="方正楷体_GBK" w:eastAsia="方正楷体_GBK" w:cs="方正楷体_GBK"/>
      <w:color w:val="000000"/>
      <w:sz w:val="22"/>
      <w:szCs w:val="22"/>
      <w:u w:val="none"/>
    </w:rPr>
  </w:style>
  <w:style w:type="character" w:customStyle="1" w:styleId="19">
    <w:name w:val="font51"/>
    <w:basedOn w:val="7"/>
    <w:qFormat/>
    <w:uiPriority w:val="0"/>
    <w:rPr>
      <w:rFonts w:hint="default" w:ascii="Times New Roman" w:hAnsi="Times New Roman" w:cs="Times New Roman"/>
      <w:b/>
      <w:bCs/>
      <w:color w:val="000000"/>
      <w:sz w:val="22"/>
      <w:szCs w:val="22"/>
      <w:u w:val="none"/>
    </w:rPr>
  </w:style>
  <w:style w:type="character" w:customStyle="1" w:styleId="20">
    <w:name w:val="font11"/>
    <w:basedOn w:val="7"/>
    <w:qFormat/>
    <w:uiPriority w:val="0"/>
    <w:rPr>
      <w:rFonts w:hint="eastAsia" w:ascii="方正黑体_GBK" w:hAnsi="方正黑体_GBK" w:eastAsia="方正黑体_GBK" w:cs="方正黑体_GBK"/>
      <w:color w:val="000000"/>
      <w:sz w:val="22"/>
      <w:szCs w:val="22"/>
      <w:u w:val="none"/>
    </w:rPr>
  </w:style>
  <w:style w:type="character" w:customStyle="1" w:styleId="21">
    <w:name w:val="font111"/>
    <w:basedOn w:val="7"/>
    <w:qFormat/>
    <w:uiPriority w:val="0"/>
    <w:rPr>
      <w:rFonts w:ascii="方正黑体_GBK" w:hAnsi="方正黑体_GBK" w:eastAsia="方正黑体_GBK" w:cs="方正黑体_GBK"/>
      <w:color w:val="000000"/>
      <w:sz w:val="22"/>
      <w:szCs w:val="22"/>
      <w:u w:val="none"/>
    </w:rPr>
  </w:style>
  <w:style w:type="character" w:customStyle="1" w:styleId="22">
    <w:name w:val="font12"/>
    <w:basedOn w:val="7"/>
    <w:qFormat/>
    <w:uiPriority w:val="0"/>
    <w:rPr>
      <w:rFonts w:hint="default" w:ascii="Times New Roman" w:hAnsi="Times New Roman" w:cs="Times New Roman"/>
      <w:color w:val="000000"/>
      <w:sz w:val="22"/>
      <w:szCs w:val="22"/>
      <w:u w:val="none"/>
    </w:rPr>
  </w:style>
  <w:style w:type="character" w:customStyle="1" w:styleId="23">
    <w:name w:val="font122"/>
    <w:basedOn w:val="7"/>
    <w:qFormat/>
    <w:uiPriority w:val="0"/>
    <w:rPr>
      <w:rFonts w:hint="eastAsia" w:ascii="宋体" w:hAnsi="宋体" w:eastAsia="宋体" w:cs="宋体"/>
      <w:b/>
      <w:bCs/>
      <w:color w:val="000000"/>
      <w:sz w:val="22"/>
      <w:szCs w:val="22"/>
      <w:u w:val="none"/>
    </w:rPr>
  </w:style>
  <w:style w:type="character" w:customStyle="1" w:styleId="24">
    <w:name w:val="font131"/>
    <w:basedOn w:val="7"/>
    <w:qFormat/>
    <w:uiPriority w:val="0"/>
    <w:rPr>
      <w:rFonts w:hint="eastAsia" w:ascii="宋体" w:hAnsi="宋体" w:eastAsia="宋体" w:cs="宋体"/>
      <w:b/>
      <w:bCs/>
      <w:color w:val="000000"/>
      <w:sz w:val="24"/>
      <w:szCs w:val="24"/>
      <w:u w:val="none"/>
    </w:rPr>
  </w:style>
  <w:style w:type="character" w:customStyle="1" w:styleId="25">
    <w:name w:val="font141"/>
    <w:basedOn w:val="7"/>
    <w:qFormat/>
    <w:uiPriority w:val="0"/>
    <w:rPr>
      <w:rFonts w:ascii="微软雅黑" w:hAnsi="微软雅黑" w:eastAsia="微软雅黑" w:cs="微软雅黑"/>
      <w:b/>
      <w:bCs/>
      <w:color w:val="000000"/>
      <w:sz w:val="28"/>
      <w:szCs w:val="28"/>
      <w:u w:val="none"/>
    </w:rPr>
  </w:style>
  <w:style w:type="paragraph" w:styleId="26">
    <w:name w:val="List Paragraph"/>
    <w:basedOn w:val="1"/>
    <w:qFormat/>
    <w:uiPriority w:val="34"/>
    <w:pPr>
      <w:ind w:firstLine="420" w:firstLineChars="200"/>
    </w:pPr>
    <w:rPr>
      <w:rFonts w:ascii="Calibri" w:hAnsi="Calibri"/>
      <w:szCs w:val="22"/>
    </w:rPr>
  </w:style>
  <w:style w:type="character" w:customStyle="1" w:styleId="27">
    <w:name w:val="font01"/>
    <w:basedOn w:val="7"/>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9" Type="http://schemas.openxmlformats.org/officeDocument/2006/relationships/font" Target="fonts/font9.odttf"/><Relationship Id="rId8" Type="http://schemas.openxmlformats.org/officeDocument/2006/relationships/font" Target="fonts/font8.odttf"/><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Pages>
  <Words>2035</Words>
  <Characters>2255</Characters>
  <Lines>17</Lines>
  <Paragraphs>5</Paragraphs>
  <TotalTime>18</TotalTime>
  <ScaleCrop>false</ScaleCrop>
  <LinksUpToDate>false</LinksUpToDate>
  <CharactersWithSpaces>2394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2026-02-02T07:09:00Z</dcterms:created>
  <dc:creator>lenovo</dc:creator>
  <cp:lastModifiedBy>伍崇兴</cp:lastModifiedBy>
  <cp:lastPrinted>2026-01-28T15:59:00Z</cp:lastPrinted>
  <dcterms:modified xsi:type="dcterms:W3CDTF">2026-03-12T02:32:44Z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56DDCF8C1200497F9A4A2B02BDE63BD3_13</vt:lpwstr>
  </property>
  <property fmtid="{D5CDD505-2E9C-101B-9397-08002B2CF9AE}" pid="4" name="KSOTemplateDocerSaveRecord">
    <vt:lpwstr>eyJoZGlkIjoiN2I3NjVkZWVjYWQ0Y2NjNTM1YzU3YjRjMWY5MDRjNDIiLCJ1c2VySWQiOiIxNjc3ODQxMDQxIn0=</vt:lpwstr>
  </property>
</Properties>
</file>