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A" w:rsidRDefault="004D3D9A" w:rsidP="004D3D9A">
      <w:pPr>
        <w:spacing w:line="400" w:lineRule="exact"/>
        <w:ind w:firstLine="640"/>
        <w:rPr>
          <w:rFonts w:eastAsia="仿宋_GB2312"/>
        </w:rPr>
      </w:pPr>
    </w:p>
    <w:p w:rsidR="004D3D9A" w:rsidRDefault="004D3D9A" w:rsidP="004D3D9A">
      <w:pPr>
        <w:spacing w:line="400" w:lineRule="exact"/>
        <w:ind w:firstLine="640"/>
        <w:rPr>
          <w:rFonts w:eastAsia="仿宋_GB2312"/>
        </w:rPr>
      </w:pPr>
    </w:p>
    <w:p w:rsidR="004D3D9A" w:rsidRDefault="004D3D9A" w:rsidP="004D3D9A">
      <w:pPr>
        <w:spacing w:line="400" w:lineRule="exact"/>
        <w:ind w:firstLine="640"/>
        <w:rPr>
          <w:rFonts w:eastAsia="仿宋_GB2312"/>
        </w:rPr>
      </w:pPr>
    </w:p>
    <w:p w:rsidR="004D3D9A" w:rsidRDefault="004D3D9A" w:rsidP="004D3D9A">
      <w:pPr>
        <w:spacing w:line="400" w:lineRule="exact"/>
        <w:ind w:firstLine="640"/>
        <w:rPr>
          <w:rFonts w:eastAsia="仿宋_GB2312"/>
        </w:rPr>
      </w:pPr>
    </w:p>
    <w:p w:rsidR="004D3D9A" w:rsidRDefault="004D3D9A" w:rsidP="004D3D9A">
      <w:pPr>
        <w:tabs>
          <w:tab w:val="left" w:pos="360"/>
          <w:tab w:val="left" w:pos="8460"/>
        </w:tabs>
        <w:spacing w:line="100" w:lineRule="atLeast"/>
        <w:jc w:val="center"/>
        <w:rPr>
          <w:rFonts w:eastAsia="方正小标宋_GBK"/>
          <w:b/>
          <w:bCs/>
          <w:color w:val="FF0000"/>
          <w:spacing w:val="80"/>
          <w:w w:val="40"/>
          <w:sz w:val="120"/>
          <w:szCs w:val="120"/>
        </w:rPr>
      </w:pPr>
      <w:r>
        <w:rPr>
          <w:rFonts w:eastAsia="方正小标宋_GBK" w:hint="eastAsia"/>
          <w:b/>
          <w:bCs/>
          <w:color w:val="FF0000"/>
          <w:spacing w:val="80"/>
          <w:w w:val="40"/>
          <w:sz w:val="120"/>
          <w:szCs w:val="120"/>
        </w:rPr>
        <w:t>重庆市开州区教育委员会文件</w:t>
      </w:r>
    </w:p>
    <w:p w:rsidR="004D3D9A" w:rsidRDefault="004D3D9A" w:rsidP="004D3D9A">
      <w:pPr>
        <w:spacing w:line="600" w:lineRule="exact"/>
        <w:ind w:firstLine="575"/>
        <w:jc w:val="center"/>
        <w:rPr>
          <w:rFonts w:eastAsia="仿宋_GB2312"/>
          <w:w w:val="90"/>
        </w:rPr>
      </w:pPr>
    </w:p>
    <w:p w:rsidR="004D3D9A" w:rsidRPr="004D3D9A" w:rsidRDefault="004D3D9A" w:rsidP="004D3D9A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4D3D9A">
        <w:rPr>
          <w:rFonts w:ascii="Times New Roman" w:eastAsia="方正仿宋_GBK" w:hAnsi="Times New Roman" w:cs="Times New Roman"/>
          <w:sz w:val="32"/>
        </w:rPr>
        <w:t>开州教办</w:t>
      </w:r>
      <w:proofErr w:type="gramEnd"/>
      <w:r w:rsidRPr="004D3D9A"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 w:rsidRPr="004D3D9A">
        <w:rPr>
          <w:rFonts w:ascii="Times New Roman" w:eastAsia="方正仿宋_GBK" w:hAnsi="Times New Roman" w:cs="Times New Roman"/>
          <w:color w:val="000000"/>
          <w:sz w:val="32"/>
          <w:szCs w:val="32"/>
        </w:rPr>
        <w:t>2025</w:t>
      </w:r>
      <w:r w:rsidRPr="004D3D9A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4D3D9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D3D9A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4D3D9A">
        <w:rPr>
          <w:rFonts w:ascii="Times New Roman" w:eastAsia="方正仿宋_GBK" w:hAnsi="Times New Roman" w:cs="Times New Roman"/>
          <w:sz w:val="32"/>
        </w:rPr>
        <w:t>号</w:t>
      </w:r>
      <w:r w:rsidRPr="004D3D9A">
        <w:rPr>
          <w:rFonts w:ascii="Times New Roman" w:eastAsia="方正仿宋_GBK" w:hAnsi="Times New Roman" w:cs="Times New Roman"/>
          <w:sz w:val="32"/>
        </w:rPr>
        <w:t xml:space="preserve">               </w:t>
      </w:r>
      <w:r w:rsidRPr="004D3D9A">
        <w:rPr>
          <w:rFonts w:ascii="Times New Roman" w:eastAsia="方正仿宋_GBK" w:hAnsi="Times New Roman" w:cs="Times New Roman"/>
          <w:sz w:val="32"/>
        </w:rPr>
        <w:t>签发人：</w:t>
      </w:r>
      <w:r w:rsidRPr="004D3D9A">
        <w:rPr>
          <w:rFonts w:ascii="Times New Roman" w:eastAsia="方正楷体_GBK" w:hAnsi="Times New Roman" w:cs="Times New Roman"/>
          <w:sz w:val="32"/>
        </w:rPr>
        <w:t>李晓海</w:t>
      </w:r>
    </w:p>
    <w:p w:rsidR="004D3D9A" w:rsidRDefault="004D3D9A" w:rsidP="004D3D9A">
      <w:pPr>
        <w:spacing w:line="600" w:lineRule="exact"/>
        <w:ind w:firstLine="420"/>
        <w:jc w:val="center"/>
        <w:rPr>
          <w:rFonts w:ascii="Calibri" w:eastAsia="仿宋_GB2312" w:hAnsi="Calibri"/>
          <w:w w:val="9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221614</wp:posOffset>
                </wp:positionV>
                <wp:extent cx="5831840" cy="0"/>
                <wp:effectExtent l="0" t="0" r="1651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7.45pt" to="450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" strokecolor="red" strokeweight="1.5pt"/>
            </w:pict>
          </mc:Fallback>
        </mc:AlternateContent>
      </w:r>
    </w:p>
    <w:p w:rsidR="004D3D9A" w:rsidRDefault="004D3D9A" w:rsidP="004D3D9A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4D3D9A" w:rsidRDefault="004D3D9A" w:rsidP="004D3D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E4C92" w:rsidRDefault="00680F0C">
      <w:pPr>
        <w:pStyle w:val="a3"/>
        <w:spacing w:line="60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重庆市开州区教育委员会（本级）</w:t>
      </w:r>
    </w:p>
    <w:p w:rsidR="006E4C92" w:rsidRDefault="00680F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年部门预算情况公开的公告</w:t>
      </w:r>
    </w:p>
    <w:p w:rsidR="006E4C92" w:rsidRDefault="006E4C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按照有关财政预算公开的部署和要求，依据《中华人民共和国政府信息公开条例》（国务院令第</w:t>
      </w:r>
      <w:r>
        <w:rPr>
          <w:rFonts w:ascii="Times New Roman" w:eastAsia="方正仿宋_GBK" w:hAnsi="Times New Roman" w:cs="Times New Roman"/>
          <w:sz w:val="32"/>
          <w:szCs w:val="32"/>
        </w:rPr>
        <w:t>492</w:t>
      </w:r>
      <w:r>
        <w:rPr>
          <w:rFonts w:ascii="Times New Roman" w:eastAsia="方正仿宋_GBK" w:hAnsi="Times New Roman" w:cs="Times New Roman"/>
          <w:sz w:val="32"/>
          <w:szCs w:val="32"/>
        </w:rPr>
        <w:t>号）、重庆市开州区财政局《关于批复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年区级部门预算的通知》（开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州财教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发〔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号）及重庆市开州区教育委员会《关于批复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年部门预算的通知》（开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州教财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号）要求，现将重庆市开州区教育委员会（本级）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年部门预算批复情况公开如下：</w:t>
      </w:r>
    </w:p>
    <w:p w:rsidR="006E4C92" w:rsidRDefault="00680F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目</w:t>
      </w:r>
      <w:r>
        <w:rPr>
          <w:rFonts w:ascii="Times New Roman" w:eastAsia="方正小标宋_GBK" w:hAnsi="Times New Roman" w:cs="Times New Roman"/>
          <w:sz w:val="44"/>
          <w:szCs w:val="44"/>
        </w:rPr>
        <w:t> 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sz w:val="44"/>
          <w:szCs w:val="44"/>
        </w:rPr>
        <w:t>录</w:t>
      </w:r>
    </w:p>
    <w:p w:rsidR="006E4C92" w:rsidRDefault="006E4C92">
      <w:pPr>
        <w:spacing w:line="600" w:lineRule="exact"/>
        <w:rPr>
          <w:rFonts w:ascii="Times New Roman" w:hAnsi="Times New Roman" w:cs="Times New Roman"/>
        </w:rPr>
      </w:pPr>
    </w:p>
    <w:p w:rsidR="006E4C92" w:rsidRDefault="00680F0C">
      <w:pPr>
        <w:spacing w:line="6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第一部分：</w:t>
      </w:r>
      <w:r>
        <w:rPr>
          <w:rFonts w:ascii="Times New Roman" w:eastAsia="方正楷体_GBK" w:hAnsi="Times New Roman" w:cs="Times New Roman"/>
          <w:sz w:val="32"/>
          <w:szCs w:val="32"/>
        </w:rPr>
        <w:t>2025</w:t>
      </w:r>
      <w:r>
        <w:rPr>
          <w:rFonts w:ascii="Times New Roman" w:eastAsia="方正楷体_GBK" w:hAnsi="Times New Roman" w:cs="Times New Roman"/>
          <w:sz w:val="32"/>
          <w:szCs w:val="32"/>
        </w:rPr>
        <w:t>年部门预算情况说明</w:t>
      </w:r>
    </w:p>
    <w:p w:rsidR="006E4C92" w:rsidRDefault="006E4C92">
      <w:pPr>
        <w:spacing w:line="600" w:lineRule="exact"/>
        <w:rPr>
          <w:rFonts w:ascii="Times New Roman" w:hAnsi="Times New Roman" w:cs="Times New Roman"/>
        </w:rPr>
      </w:pP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一、单位基本情况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二、部门收支总体情况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三、部门预算情况说明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经费情况说明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五、其他重要事项的情况说明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六、专业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性名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词解释</w:t>
      </w:r>
    </w:p>
    <w:p w:rsidR="006E4C92" w:rsidRDefault="006E4C9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80F0C">
      <w:pPr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第二部分：</w:t>
      </w:r>
      <w:r>
        <w:rPr>
          <w:rFonts w:ascii="Times New Roman" w:eastAsia="方正楷体_GBK" w:hAnsi="Times New Roman" w:cs="Times New Roman"/>
          <w:sz w:val="32"/>
          <w:szCs w:val="32"/>
        </w:rPr>
        <w:t>2025</w:t>
      </w:r>
      <w:r>
        <w:rPr>
          <w:rFonts w:ascii="Times New Roman" w:eastAsia="方正楷体_GBK" w:hAnsi="Times New Roman" w:cs="Times New Roman"/>
          <w:sz w:val="32"/>
          <w:szCs w:val="32"/>
        </w:rPr>
        <w:t>年部门预算公开报表</w:t>
      </w:r>
    </w:p>
    <w:p w:rsidR="006E4C92" w:rsidRDefault="006E4C92">
      <w:pPr>
        <w:spacing w:line="600" w:lineRule="exact"/>
        <w:rPr>
          <w:rFonts w:ascii="Times New Roman" w:hAnsi="Times New Roman" w:cs="Times New Roman"/>
        </w:rPr>
      </w:pP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、重庆市开州区教育委员会（本级）收支预算总表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、重庆市开州区教育委员会（本级）收入总表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、重庆市开州区教育委员会（本级）本年支出预算总表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、重庆市开州区教育委员会（本级）财政拨款收支预算总表</w:t>
      </w:r>
    </w:p>
    <w:p w:rsidR="006E4C92" w:rsidRPr="004D3D9A" w:rsidRDefault="00680F0C">
      <w:pPr>
        <w:spacing w:line="600" w:lineRule="exact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、重</w:t>
      </w:r>
      <w:r w:rsidRPr="004D3D9A">
        <w:rPr>
          <w:rFonts w:ascii="Times New Roman" w:eastAsia="方正仿宋_GBK" w:hAnsi="Times New Roman" w:cs="Times New Roman"/>
          <w:spacing w:val="-20"/>
          <w:sz w:val="32"/>
          <w:szCs w:val="32"/>
        </w:rPr>
        <w:t>庆市开州区教育委员会（本级）本年一般公共预算支出预算表</w:t>
      </w:r>
    </w:p>
    <w:p w:rsidR="006E4C92" w:rsidRPr="004D3D9A" w:rsidRDefault="00680F0C">
      <w:pPr>
        <w:spacing w:line="600" w:lineRule="exact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、重庆</w:t>
      </w:r>
      <w:r w:rsidRPr="004D3D9A">
        <w:rPr>
          <w:rFonts w:ascii="Times New Roman" w:eastAsia="方正仿宋_GBK" w:hAnsi="Times New Roman" w:cs="Times New Roman"/>
          <w:spacing w:val="-20"/>
          <w:sz w:val="32"/>
          <w:szCs w:val="32"/>
        </w:rPr>
        <w:t>市开州区教育委员会（本级）一般公共预算基本支出预算表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、重庆市开州区教育委员会（本级）一般公共预算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三公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经费支出预算表</w:t>
      </w:r>
    </w:p>
    <w:p w:rsidR="006E4C92" w:rsidRPr="004D3D9A" w:rsidRDefault="00680F0C">
      <w:pPr>
        <w:spacing w:line="600" w:lineRule="exact"/>
        <w:rPr>
          <w:rFonts w:ascii="Times New Roman" w:eastAsia="方正仿宋_GBK" w:hAnsi="Times New Roman" w:cs="Times New Roman"/>
          <w:spacing w:val="-12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、重</w:t>
      </w:r>
      <w:r w:rsidRPr="004D3D9A">
        <w:rPr>
          <w:rFonts w:ascii="Times New Roman" w:eastAsia="方正仿宋_GBK" w:hAnsi="Times New Roman" w:cs="Times New Roman"/>
          <w:spacing w:val="-12"/>
          <w:sz w:val="32"/>
          <w:szCs w:val="32"/>
        </w:rPr>
        <w:t>庆市开</w:t>
      </w:r>
      <w:r w:rsidRPr="004D3D9A">
        <w:rPr>
          <w:rFonts w:ascii="Times New Roman" w:eastAsia="方正仿宋_GBK" w:hAnsi="Times New Roman" w:cs="Times New Roman"/>
          <w:spacing w:val="-12"/>
          <w:sz w:val="32"/>
          <w:szCs w:val="32"/>
        </w:rPr>
        <w:t>州区教育委员会（本级）政府性基金预算支出预算表</w:t>
      </w:r>
    </w:p>
    <w:p w:rsidR="006E4C92" w:rsidRPr="004D3D9A" w:rsidRDefault="00680F0C">
      <w:pPr>
        <w:spacing w:line="600" w:lineRule="exact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、重</w:t>
      </w:r>
      <w:r w:rsidRPr="004D3D9A">
        <w:rPr>
          <w:rFonts w:ascii="Times New Roman" w:eastAsia="方正仿宋_GBK" w:hAnsi="Times New Roman" w:cs="Times New Roman"/>
          <w:spacing w:val="-20"/>
          <w:sz w:val="32"/>
          <w:szCs w:val="32"/>
        </w:rPr>
        <w:t>庆市开州区教育委员会（本级）国有资本经营预算支出预算表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、重庆市开州区教育委员会（本级）项目支出表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表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年重庆市开州区教育委员会（本级）项目绩效目标表</w:t>
      </w:r>
    </w:p>
    <w:p w:rsidR="006E4C92" w:rsidRDefault="006E4C9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注：上述表格详见附表《重庆市开州区教育委员会（本级）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年部门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预算公开报表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E4C92" w:rsidRDefault="00680F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第一部分：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年部门预算情况说明</w:t>
      </w:r>
    </w:p>
    <w:p w:rsidR="006E4C92" w:rsidRDefault="006E4C92">
      <w:pPr>
        <w:spacing w:line="600" w:lineRule="exact"/>
        <w:ind w:firstLineChars="200" w:firstLine="880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:rsidR="006E4C92" w:rsidRDefault="00680F0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一、单位基本情况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（一）职能职责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贯彻执行党和国家的教育方针、政策和</w:t>
      </w:r>
      <w:r>
        <w:rPr>
          <w:rFonts w:ascii="Times New Roman" w:eastAsia="方正仿宋_GBK" w:hAnsi="Times New Roman" w:cs="Times New Roman"/>
          <w:sz w:val="32"/>
        </w:rPr>
        <w:t>法律法规</w:t>
      </w:r>
      <w:r>
        <w:rPr>
          <w:rFonts w:ascii="Times New Roman" w:eastAsia="方正仿宋_GBK" w:hAnsi="Times New Roman" w:cs="Times New Roman"/>
          <w:color w:val="000000"/>
          <w:sz w:val="32"/>
        </w:rPr>
        <w:t>，</w:t>
      </w:r>
      <w:r>
        <w:rPr>
          <w:rFonts w:ascii="Times New Roman" w:eastAsia="方正仿宋_GBK" w:hAnsi="Times New Roman" w:cs="Times New Roman"/>
          <w:sz w:val="32"/>
        </w:rPr>
        <w:t>以及市、区有关教育工作的决定、指示和工作部署，制定全区教育发展规划并组织实施，研究、决定全区教育改革和发展的重大问题，管理、指导全区教育工作。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2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负责全区各级各类教育的统筹规划和协调管理，指导各级各类学校的教育教学改革、课程教材建设及教育科研工作；会同计划部门编制、上报、下达中小学教育招生计划；负责教育统计、信息工作。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3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负责推进义务教育均衡发展和促进教育公平；负责义务教育的指导与协调，组织实施促进公共教育资源进一步向农村倾斜的政策措施，实施基础教育教学改革；加强教育教学研究，统筹高中教育、幼儿教育和特</w:t>
      </w:r>
      <w:r>
        <w:rPr>
          <w:rFonts w:ascii="Times New Roman" w:eastAsia="方正仿宋_GBK" w:hAnsi="Times New Roman" w:cs="Times New Roman"/>
          <w:color w:val="000000"/>
          <w:sz w:val="32"/>
        </w:rPr>
        <w:t>殊教育工作，全面实施素质教育。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4</w:t>
      </w:r>
      <w:r w:rsidR="004D3D9A">
        <w:rPr>
          <w:rFonts w:ascii="Times New Roman" w:eastAsia="方正仿宋_GBK" w:hAnsi="Times New Roman" w:cs="Times New Roman"/>
          <w:sz w:val="32"/>
        </w:rPr>
        <w:t>．</w:t>
      </w:r>
      <w:r>
        <w:rPr>
          <w:rFonts w:ascii="Times New Roman" w:eastAsia="方正仿宋_GBK" w:hAnsi="Times New Roman" w:cs="Times New Roman"/>
          <w:sz w:val="32"/>
        </w:rPr>
        <w:t>负责全区教育督导工作；负责全区基础教育发展水平、质量监测工作，负责对镇乡街道教育工作进行监督、检查和指导。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5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指导以就业为导向的职业教育的发展与改革，组织实施深化职业教育教学改革的政策措施，指导职业学校提高办学水平和质量。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6</w:t>
      </w:r>
      <w:r w:rsidR="004D3D9A">
        <w:rPr>
          <w:rFonts w:ascii="Times New Roman" w:eastAsia="方正仿宋_GBK" w:hAnsi="Times New Roman" w:cs="Times New Roman" w:hint="eastAsia"/>
          <w:sz w:val="32"/>
        </w:rPr>
        <w:t>．</w:t>
      </w:r>
      <w:r>
        <w:rPr>
          <w:rFonts w:ascii="Times New Roman" w:eastAsia="方正仿宋_GBK" w:hAnsi="Times New Roman" w:cs="Times New Roman"/>
          <w:sz w:val="32"/>
        </w:rPr>
        <w:t>统筹全区教育体制改革，拟订全区中小学的布局结构调整规划；拟订、实施中小学的设置、撤销、调整、停办、更名、合</w:t>
      </w:r>
      <w:r>
        <w:rPr>
          <w:rFonts w:ascii="Times New Roman" w:eastAsia="方正仿宋_GBK" w:hAnsi="Times New Roman" w:cs="Times New Roman"/>
          <w:sz w:val="32"/>
        </w:rPr>
        <w:lastRenderedPageBreak/>
        <w:t>并的方案。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7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负责全区教育经费的统筹管理；参与教育经费的审计监督；负责教育经费的安排和预决算工作；负责教育援助的管理。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8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统筹管理、协调</w:t>
      </w:r>
      <w:r>
        <w:rPr>
          <w:rFonts w:ascii="Times New Roman" w:eastAsia="方正仿宋_GBK" w:hAnsi="Times New Roman" w:cs="Times New Roman"/>
          <w:color w:val="000000"/>
          <w:sz w:val="32"/>
        </w:rPr>
        <w:t>民办教育，拟订民办教育管理的政策措施，规范办学秩序，承担民办教育监管的责任。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9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指导各级各类学校的思想政治、德育、体育卫生艺术教育和国防教育等工作。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10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主管全区教师工作，实施教师资格制度，负责教育系统人才队伍建设；</w:t>
      </w:r>
      <w:r>
        <w:rPr>
          <w:rFonts w:ascii="Times New Roman" w:eastAsia="方正仿宋_GBK" w:hAnsi="Times New Roman" w:cs="Times New Roman"/>
          <w:sz w:val="32"/>
        </w:rPr>
        <w:t>负责教育系统机构编制、人事和社会保障及教育培训、人员调配、职称评定工作。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11</w:t>
      </w:r>
      <w:r w:rsidR="004D3D9A">
        <w:rPr>
          <w:rFonts w:ascii="Times New Roman" w:eastAsia="方正仿宋_GBK" w:hAnsi="Times New Roman" w:cs="Times New Roman" w:hint="eastAsia"/>
          <w:sz w:val="32"/>
        </w:rPr>
        <w:t>．</w:t>
      </w:r>
      <w:r>
        <w:rPr>
          <w:rFonts w:ascii="Times New Roman" w:eastAsia="方正仿宋_GBK" w:hAnsi="Times New Roman" w:cs="Times New Roman"/>
          <w:sz w:val="32"/>
        </w:rPr>
        <w:t>管理、指导教育工会工作及本系统工、青、妇等群团工作。统筹教育系统的对外交流工作。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12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负责大中专招生考试和高、中等教育自学考试工作；负责各类教育考试、录取管理工作；管理中小学有关学历证书和培训证书的发放；承担毕</w:t>
      </w:r>
      <w:r>
        <w:rPr>
          <w:rFonts w:ascii="Times New Roman" w:eastAsia="方正仿宋_GBK" w:hAnsi="Times New Roman" w:cs="Times New Roman"/>
          <w:color w:val="000000"/>
          <w:sz w:val="32"/>
        </w:rPr>
        <w:t>业生离校前的就业指导和服务工作。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13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负责全区的语言文字管理工作；拟订语言文字工作中长期规划；负责普通话培训测试工作。</w:t>
      </w:r>
    </w:p>
    <w:p w:rsidR="006E4C92" w:rsidRDefault="00680F0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14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负责本系统的安全稳定监管工作；负责对各类学校的国有资产进行管理；指导各类学校建设、教育信息和物资技术装备、教育产业、学校后勤改革工作。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仿宋_GBK" w:hAnsi="Times New Roman" w:cs="Times New Roman"/>
          <w:color w:val="000000"/>
          <w:sz w:val="32"/>
        </w:rPr>
        <w:t>15</w:t>
      </w:r>
      <w:r w:rsidR="004D3D9A">
        <w:rPr>
          <w:rFonts w:ascii="Times New Roman" w:eastAsia="方正仿宋_GBK" w:hAnsi="Times New Roman" w:cs="Times New Roman" w:hint="eastAsia"/>
          <w:color w:val="000000"/>
          <w:sz w:val="32"/>
        </w:rPr>
        <w:t>．</w:t>
      </w:r>
      <w:r>
        <w:rPr>
          <w:rFonts w:ascii="Times New Roman" w:eastAsia="方正仿宋_GBK" w:hAnsi="Times New Roman" w:cs="Times New Roman"/>
          <w:color w:val="000000"/>
          <w:sz w:val="32"/>
        </w:rPr>
        <w:t>完成区委、区政府交办的其他任务。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楷体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（二）单位构成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重庆市开州区教育委员会（本级）</w:t>
      </w:r>
      <w:r>
        <w:rPr>
          <w:rFonts w:ascii="Times New Roman" w:eastAsia="方正仿宋_GBK" w:hAnsi="Times New Roman" w:cs="Times New Roman"/>
          <w:sz w:val="32"/>
        </w:rPr>
        <w:t>内设</w:t>
      </w:r>
      <w:r>
        <w:rPr>
          <w:rFonts w:ascii="Times New Roman" w:eastAsia="方正仿宋_GBK" w:hAnsi="Times New Roman" w:cs="Times New Roman"/>
          <w:sz w:val="32"/>
        </w:rPr>
        <w:t>16</w:t>
      </w:r>
      <w:r>
        <w:rPr>
          <w:rFonts w:ascii="Times New Roman" w:eastAsia="方正仿宋_GBK" w:hAnsi="Times New Roman" w:cs="Times New Roman"/>
          <w:sz w:val="32"/>
        </w:rPr>
        <w:t>个机构科室，分别</w:t>
      </w:r>
      <w:r>
        <w:rPr>
          <w:rFonts w:ascii="Times New Roman" w:eastAsia="方正仿宋_GBK" w:hAnsi="Times New Roman" w:cs="Times New Roman"/>
          <w:sz w:val="32"/>
        </w:rPr>
        <w:lastRenderedPageBreak/>
        <w:t>是</w:t>
      </w:r>
      <w:r>
        <w:rPr>
          <w:rFonts w:ascii="Times New Roman" w:eastAsia="方正仿宋_GBK" w:hAnsi="Times New Roman" w:cs="Times New Roman"/>
          <w:sz w:val="32"/>
          <w:szCs w:val="24"/>
        </w:rPr>
        <w:t>办公室、秘书科、党建科、干部科、人事科、</w:t>
      </w:r>
      <w:r>
        <w:rPr>
          <w:rFonts w:ascii="Times New Roman" w:eastAsia="方正仿宋_GBK" w:hAnsi="Times New Roman" w:cs="Times New Roman"/>
          <w:spacing w:val="-6"/>
          <w:sz w:val="32"/>
          <w:szCs w:val="24"/>
        </w:rPr>
        <w:t>基础教育科、</w:t>
      </w:r>
      <w:r>
        <w:rPr>
          <w:rFonts w:ascii="Times New Roman" w:eastAsia="方正仿宋_GBK" w:hAnsi="Times New Roman" w:cs="Times New Roman"/>
          <w:sz w:val="32"/>
          <w:szCs w:val="24"/>
        </w:rPr>
        <w:t>学前教育科、职成教育科、体育卫生艺术教育科、财务科、规划建设科、审计科、安全信访稳定科、法规宣传科、督导科、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校外培训监管科</w:t>
      </w:r>
      <w:r>
        <w:rPr>
          <w:rFonts w:ascii="Times New Roman" w:eastAsia="方正仿宋_GBK" w:hAnsi="Times New Roman" w:cs="Times New Roman"/>
          <w:sz w:val="32"/>
          <w:szCs w:val="24"/>
        </w:rPr>
        <w:t>。机关下属</w:t>
      </w:r>
      <w:r>
        <w:rPr>
          <w:rFonts w:ascii="Times New Roman" w:eastAsia="方正仿宋_GBK" w:hAnsi="Times New Roman" w:cs="Times New Roman"/>
          <w:sz w:val="32"/>
          <w:szCs w:val="24"/>
        </w:rPr>
        <w:t>2</w:t>
      </w:r>
      <w:r>
        <w:rPr>
          <w:rFonts w:ascii="Times New Roman" w:eastAsia="方正仿宋_GBK" w:hAnsi="Times New Roman" w:cs="Times New Roman"/>
          <w:sz w:val="32"/>
          <w:szCs w:val="24"/>
        </w:rPr>
        <w:t>个独立编制机构，分别是教育人事档案中心、教育质量评估监测中心。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二、部门收支总体情况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（一）收入预算：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年年初预算数</w:t>
      </w:r>
      <w:r>
        <w:rPr>
          <w:rFonts w:ascii="Times New Roman" w:eastAsia="方正仿宋_GBK" w:hAnsi="Times New Roman" w:cs="Times New Roman"/>
          <w:sz w:val="32"/>
        </w:rPr>
        <w:t>6825.06</w:t>
      </w:r>
      <w:r>
        <w:rPr>
          <w:rFonts w:ascii="Times New Roman" w:eastAsia="方正仿宋_GBK" w:hAnsi="Times New Roman" w:cs="Times New Roman"/>
          <w:sz w:val="32"/>
        </w:rPr>
        <w:t>万元（含上年结转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万元），其中：一般公共预算拨款</w:t>
      </w:r>
      <w:r>
        <w:rPr>
          <w:rFonts w:ascii="Times New Roman" w:eastAsia="方正仿宋_GBK" w:hAnsi="Times New Roman" w:cs="Times New Roman"/>
          <w:sz w:val="32"/>
        </w:rPr>
        <w:t>625.06</w:t>
      </w:r>
      <w:r>
        <w:rPr>
          <w:rFonts w:ascii="Times New Roman" w:eastAsia="方正仿宋_GBK" w:hAnsi="Times New Roman" w:cs="Times New Roman"/>
          <w:sz w:val="32"/>
        </w:rPr>
        <w:t>万元，上年结转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万元，政府性基金预算拨款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万元（含上年结转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万元），国有资本经营预算收入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万元，上年结转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万元，事业收入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万元，事业单位经营收入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万元，其他收入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</w:t>
      </w:r>
      <w:r>
        <w:rPr>
          <w:rFonts w:ascii="Times New Roman" w:eastAsia="方正仿宋_GBK" w:hAnsi="Times New Roman" w:cs="Times New Roman"/>
          <w:sz w:val="32"/>
        </w:rPr>
        <w:t>元。收入较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年增加</w:t>
      </w:r>
      <w:r>
        <w:rPr>
          <w:rFonts w:ascii="Times New Roman" w:eastAsia="方正仿宋_GBK" w:hAnsi="Times New Roman" w:cs="Times New Roman"/>
          <w:sz w:val="32"/>
        </w:rPr>
        <w:t>5442.11</w:t>
      </w:r>
      <w:r>
        <w:rPr>
          <w:rFonts w:ascii="Times New Roman" w:eastAsia="方正仿宋_GBK" w:hAnsi="Times New Roman" w:cs="Times New Roman"/>
          <w:sz w:val="32"/>
        </w:rPr>
        <w:t>万元，主要原因是财政下达了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年第三批新增债券资金</w:t>
      </w:r>
      <w:r>
        <w:rPr>
          <w:rFonts w:ascii="Times New Roman" w:eastAsia="方正仿宋_GBK" w:hAnsi="Times New Roman" w:cs="Times New Roman"/>
          <w:sz w:val="32"/>
        </w:rPr>
        <w:t>6200.00</w:t>
      </w:r>
      <w:r>
        <w:rPr>
          <w:rFonts w:ascii="Times New Roman" w:eastAsia="方正仿宋_GBK" w:hAnsi="Times New Roman" w:cs="Times New Roman"/>
          <w:sz w:val="32"/>
        </w:rPr>
        <w:t>万元，减少了万达开地区教育资源共建共享补助资金</w:t>
      </w:r>
      <w:r>
        <w:rPr>
          <w:rFonts w:ascii="Times New Roman" w:eastAsia="方正仿宋_GBK" w:hAnsi="Times New Roman" w:cs="Times New Roman"/>
          <w:sz w:val="32"/>
        </w:rPr>
        <w:t>560</w:t>
      </w:r>
      <w:r>
        <w:rPr>
          <w:rFonts w:ascii="Times New Roman" w:eastAsia="方正仿宋_GBK" w:hAnsi="Times New Roman" w:cs="Times New Roman"/>
          <w:sz w:val="32"/>
        </w:rPr>
        <w:t>万元。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（二）支出预算：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年年初预算数</w:t>
      </w:r>
      <w:r>
        <w:rPr>
          <w:rFonts w:ascii="Times New Roman" w:eastAsia="方正仿宋_GBK" w:hAnsi="Times New Roman" w:cs="Times New Roman"/>
          <w:sz w:val="32"/>
        </w:rPr>
        <w:t>6825.06</w:t>
      </w:r>
      <w:r>
        <w:rPr>
          <w:rFonts w:ascii="Times New Roman" w:eastAsia="方正仿宋_GBK" w:hAnsi="Times New Roman" w:cs="Times New Roman"/>
          <w:sz w:val="32"/>
        </w:rPr>
        <w:t>万元，其中：一般公共服务支出预算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万元，教育支出预算</w:t>
      </w:r>
      <w:r>
        <w:rPr>
          <w:rFonts w:ascii="Times New Roman" w:eastAsia="方正仿宋_GBK" w:hAnsi="Times New Roman" w:cs="Times New Roman"/>
          <w:sz w:val="32"/>
        </w:rPr>
        <w:t>378.34</w:t>
      </w:r>
      <w:r>
        <w:rPr>
          <w:rFonts w:ascii="Times New Roman" w:eastAsia="方正仿宋_GBK" w:hAnsi="Times New Roman" w:cs="Times New Roman"/>
          <w:sz w:val="32"/>
        </w:rPr>
        <w:t>万元，社会保障和就业支出预算</w:t>
      </w:r>
      <w:r>
        <w:rPr>
          <w:rFonts w:ascii="Times New Roman" w:eastAsia="方正仿宋_GBK" w:hAnsi="Times New Roman" w:cs="Times New Roman"/>
          <w:sz w:val="32"/>
        </w:rPr>
        <w:t>171.12</w:t>
      </w:r>
      <w:r>
        <w:rPr>
          <w:rFonts w:ascii="Times New Roman" w:eastAsia="方正仿宋_GBK" w:hAnsi="Times New Roman" w:cs="Times New Roman"/>
          <w:sz w:val="32"/>
        </w:rPr>
        <w:t>万元，卫生健康支出预算</w:t>
      </w:r>
      <w:r>
        <w:rPr>
          <w:rFonts w:ascii="Times New Roman" w:eastAsia="方正仿宋_GBK" w:hAnsi="Times New Roman" w:cs="Times New Roman"/>
          <w:sz w:val="32"/>
        </w:rPr>
        <w:t>39.34</w:t>
      </w:r>
      <w:r>
        <w:rPr>
          <w:rFonts w:ascii="Times New Roman" w:eastAsia="方正仿宋_GBK" w:hAnsi="Times New Roman" w:cs="Times New Roman"/>
          <w:sz w:val="32"/>
        </w:rPr>
        <w:t>万元，住房保障支出预算</w:t>
      </w:r>
      <w:r>
        <w:rPr>
          <w:rFonts w:ascii="Times New Roman" w:eastAsia="方正仿宋_GBK" w:hAnsi="Times New Roman" w:cs="Times New Roman"/>
          <w:sz w:val="32"/>
        </w:rPr>
        <w:t>36.26</w:t>
      </w:r>
      <w:r>
        <w:rPr>
          <w:rFonts w:ascii="Times New Roman" w:eastAsia="方正仿宋_GBK" w:hAnsi="Times New Roman" w:cs="Times New Roman"/>
          <w:sz w:val="32"/>
        </w:rPr>
        <w:t>万元，其他支出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万元。支出预算较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年增加</w:t>
      </w:r>
      <w:r>
        <w:rPr>
          <w:rFonts w:ascii="Times New Roman" w:eastAsia="方正仿宋_GBK" w:hAnsi="Times New Roman" w:cs="Times New Roman"/>
          <w:sz w:val="32"/>
        </w:rPr>
        <w:t>5442.11</w:t>
      </w:r>
      <w:r>
        <w:rPr>
          <w:rFonts w:ascii="Times New Roman" w:eastAsia="方正仿宋_GBK" w:hAnsi="Times New Roman" w:cs="Times New Roman"/>
          <w:sz w:val="32"/>
        </w:rPr>
        <w:t>万元，主要是基本支出预算增加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万元，项目支出预算增加</w:t>
      </w:r>
      <w:r>
        <w:rPr>
          <w:rFonts w:ascii="Times New Roman" w:eastAsia="方正仿宋_GBK" w:hAnsi="Times New Roman" w:cs="Times New Roman"/>
          <w:sz w:val="32"/>
        </w:rPr>
        <w:t>5442.</w:t>
      </w:r>
      <w:r>
        <w:rPr>
          <w:rFonts w:ascii="Times New Roman" w:eastAsia="方正仿宋_GBK" w:hAnsi="Times New Roman" w:cs="Times New Roman"/>
          <w:sz w:val="32"/>
        </w:rPr>
        <w:t>11</w:t>
      </w:r>
      <w:r>
        <w:rPr>
          <w:rFonts w:ascii="Times New Roman" w:eastAsia="方正仿宋_GBK" w:hAnsi="Times New Roman" w:cs="Times New Roman"/>
          <w:sz w:val="32"/>
        </w:rPr>
        <w:t>万元。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三、部门预算情况说明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lastRenderedPageBreak/>
        <w:t>2025</w:t>
      </w:r>
      <w:r>
        <w:rPr>
          <w:rFonts w:ascii="Times New Roman" w:eastAsia="方正仿宋_GBK" w:hAnsi="Times New Roman" w:cs="Times New Roman"/>
          <w:sz w:val="32"/>
        </w:rPr>
        <w:t>年一般公共预算财政拨款收入</w:t>
      </w:r>
      <w:r>
        <w:rPr>
          <w:rFonts w:ascii="Times New Roman" w:eastAsia="方正仿宋_GBK" w:hAnsi="Times New Roman" w:cs="Times New Roman"/>
          <w:sz w:val="32"/>
        </w:rPr>
        <w:t>625.06</w:t>
      </w:r>
      <w:r>
        <w:rPr>
          <w:rFonts w:ascii="Times New Roman" w:eastAsia="方正仿宋_GBK" w:hAnsi="Times New Roman" w:cs="Times New Roman"/>
          <w:sz w:val="32"/>
        </w:rPr>
        <w:t>万元，一般公共预算财政拨款支出</w:t>
      </w:r>
      <w:r>
        <w:rPr>
          <w:rFonts w:ascii="Times New Roman" w:eastAsia="方正仿宋_GBK" w:hAnsi="Times New Roman" w:cs="Times New Roman"/>
          <w:sz w:val="32"/>
        </w:rPr>
        <w:t>625.06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757.89</w:t>
      </w:r>
      <w:r>
        <w:rPr>
          <w:rFonts w:ascii="Times New Roman" w:eastAsia="方正仿宋_GBK" w:hAnsi="Times New Roman" w:cs="Times New Roman"/>
          <w:sz w:val="32"/>
        </w:rPr>
        <w:t>万元。其中：基本支出</w:t>
      </w:r>
      <w:r>
        <w:rPr>
          <w:rFonts w:ascii="Times New Roman" w:eastAsia="方正仿宋_GBK" w:hAnsi="Times New Roman" w:cs="Times New Roman"/>
          <w:sz w:val="32"/>
        </w:rPr>
        <w:t>625.06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84.04</w:t>
      </w:r>
      <w:r>
        <w:rPr>
          <w:rFonts w:ascii="Times New Roman" w:eastAsia="方正仿宋_GBK" w:hAnsi="Times New Roman" w:cs="Times New Roman"/>
          <w:sz w:val="32"/>
        </w:rPr>
        <w:t>万元，主要原因是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年本单位退休</w:t>
      </w:r>
      <w:r>
        <w:rPr>
          <w:rFonts w:ascii="Times New Roman" w:eastAsia="方正仿宋_GBK" w:hAnsi="Times New Roman" w:cs="Times New Roman"/>
          <w:sz w:val="32"/>
        </w:rPr>
        <w:t>4</w:t>
      </w:r>
      <w:r>
        <w:rPr>
          <w:rFonts w:ascii="Times New Roman" w:eastAsia="方正仿宋_GBK" w:hAnsi="Times New Roman" w:cs="Times New Roman"/>
          <w:sz w:val="32"/>
        </w:rPr>
        <w:t>人，造成人员及公用经费减少，主要用于保障在职人员工资福利及社会保险缴费，离休人员离休费，退休人员补助等，保障部门正常运转的各项商品服务支出；项目支出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年减少</w:t>
      </w:r>
      <w:r>
        <w:rPr>
          <w:rFonts w:ascii="Times New Roman" w:eastAsia="方正仿宋_GBK" w:hAnsi="Times New Roman" w:cs="Times New Roman"/>
          <w:sz w:val="32"/>
        </w:rPr>
        <w:t>673.85</w:t>
      </w:r>
      <w:r>
        <w:rPr>
          <w:rFonts w:ascii="Times New Roman" w:eastAsia="方正仿宋_GBK" w:hAnsi="Times New Roman" w:cs="Times New Roman"/>
          <w:sz w:val="32"/>
        </w:rPr>
        <w:t>万元，主要原因是本年未安排一般公共预算财政拨款项目支出预算。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年政府性基金预算收入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万元，政府性基金预算支出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万元，比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年增加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万元，主要原因是财政下达了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年第三批新增债券资金</w:t>
      </w:r>
      <w:r>
        <w:rPr>
          <w:rFonts w:ascii="Times New Roman" w:eastAsia="方正仿宋_GBK" w:hAnsi="Times New Roman" w:cs="Times New Roman"/>
          <w:sz w:val="32"/>
        </w:rPr>
        <w:t>6200</w:t>
      </w:r>
      <w:r>
        <w:rPr>
          <w:rFonts w:ascii="Times New Roman" w:eastAsia="方正仿宋_GBK" w:hAnsi="Times New Roman" w:cs="Times New Roman"/>
          <w:sz w:val="32"/>
        </w:rPr>
        <w:t>万元，主要用于学校智慧教育建设设备购置。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四、</w:t>
      </w:r>
      <w:r w:rsidRPr="004D3D9A">
        <w:rPr>
          <w:rFonts w:ascii="方正仿宋_GBK" w:eastAsia="方正仿宋_GBK" w:hAnsi="Times New Roman" w:cs="Times New Roman" w:hint="eastAsia"/>
          <w:sz w:val="32"/>
        </w:rPr>
        <w:t>“</w:t>
      </w:r>
      <w:r>
        <w:rPr>
          <w:rFonts w:ascii="Times New Roman" w:eastAsia="方正黑体_GBK" w:hAnsi="Times New Roman" w:cs="Times New Roman"/>
          <w:sz w:val="32"/>
        </w:rPr>
        <w:t>三公</w:t>
      </w:r>
      <w:r w:rsidRPr="004D3D9A">
        <w:rPr>
          <w:rFonts w:ascii="方正仿宋_GBK" w:eastAsia="方正仿宋_GBK" w:hAnsi="Times New Roman" w:cs="Times New Roman" w:hint="eastAsia"/>
          <w:sz w:val="32"/>
        </w:rPr>
        <w:t>”</w:t>
      </w:r>
      <w:r>
        <w:rPr>
          <w:rFonts w:ascii="Times New Roman" w:eastAsia="方正黑体_GBK" w:hAnsi="Times New Roman" w:cs="Times New Roman"/>
          <w:sz w:val="32"/>
        </w:rPr>
        <w:t>经费情况说明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</w:t>
      </w:r>
      <w:r w:rsidRPr="004D3D9A">
        <w:rPr>
          <w:rFonts w:ascii="方正仿宋_GBK" w:eastAsia="方正仿宋_GBK" w:hAnsi="Times New Roman" w:cs="Times New Roman" w:hint="eastAsia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三公</w:t>
      </w:r>
      <w:r w:rsidRPr="004D3D9A">
        <w:rPr>
          <w:rFonts w:ascii="方正仿宋_GBK" w:eastAsia="方正仿宋_GBK" w:hAnsi="Times New Roman" w:cs="Times New Roman" w:hint="eastAsia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经费预算</w:t>
      </w:r>
      <w:r>
        <w:rPr>
          <w:rFonts w:ascii="Times New Roman" w:eastAsia="方正仿宋_GBK" w:hAnsi="Times New Roman" w:cs="Times New Roman"/>
          <w:sz w:val="32"/>
        </w:rPr>
        <w:t>4.5</w:t>
      </w:r>
      <w:r>
        <w:rPr>
          <w:rFonts w:ascii="Times New Roman" w:eastAsia="方正仿宋_GBK" w:hAnsi="Times New Roman" w:cs="Times New Roman"/>
          <w:sz w:val="32"/>
        </w:rPr>
        <w:t>万元，</w:t>
      </w:r>
      <w:bookmarkStart w:id="0" w:name="OLE_LINK1"/>
      <w:r>
        <w:rPr>
          <w:rFonts w:ascii="Times New Roman" w:eastAsia="方正仿宋_GBK" w:hAnsi="Times New Roman" w:cs="Times New Roman"/>
          <w:sz w:val="32"/>
        </w:rPr>
        <w:t>与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年持平</w:t>
      </w:r>
      <w:bookmarkEnd w:id="0"/>
      <w:r>
        <w:rPr>
          <w:rFonts w:ascii="Times New Roman" w:eastAsia="方正仿宋_GBK" w:hAnsi="Times New Roman" w:cs="Times New Roman"/>
          <w:sz w:val="32"/>
        </w:rPr>
        <w:t>。其中：因公出国（境）费用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万元，与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年持平；公务接待费</w:t>
      </w:r>
      <w:r>
        <w:rPr>
          <w:rFonts w:ascii="Times New Roman" w:eastAsia="方正仿宋_GBK" w:hAnsi="Times New Roman" w:cs="Times New Roman"/>
          <w:sz w:val="32"/>
        </w:rPr>
        <w:t>1.5</w:t>
      </w:r>
      <w:r>
        <w:rPr>
          <w:rFonts w:ascii="Times New Roman" w:eastAsia="方正仿宋_GBK" w:hAnsi="Times New Roman" w:cs="Times New Roman"/>
          <w:sz w:val="32"/>
        </w:rPr>
        <w:t>万元，与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年持平；公务用车运行维护费</w:t>
      </w:r>
      <w:r>
        <w:rPr>
          <w:rFonts w:ascii="Times New Roman" w:eastAsia="方正仿宋_GBK" w:hAnsi="Times New Roman" w:cs="Times New Roman"/>
          <w:sz w:val="32"/>
        </w:rPr>
        <w:t>3</w:t>
      </w:r>
      <w:r>
        <w:rPr>
          <w:rFonts w:ascii="Times New Roman" w:eastAsia="方正仿宋_GBK" w:hAnsi="Times New Roman" w:cs="Times New Roman"/>
          <w:sz w:val="32"/>
        </w:rPr>
        <w:t>万元，与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年持平；公务用车购置费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万元，与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年持平。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五、其他重要事项的情况说明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（一）机关运行经费。</w:t>
      </w:r>
      <w:r>
        <w:rPr>
          <w:rFonts w:ascii="Times New Roman" w:eastAsia="方正仿宋_GBK" w:hAnsi="Times New Roman" w:cs="Times New Roman"/>
          <w:sz w:val="32"/>
        </w:rPr>
        <w:t>2025</w:t>
      </w:r>
      <w:r>
        <w:rPr>
          <w:rFonts w:ascii="Times New Roman" w:eastAsia="方正仿宋_GBK" w:hAnsi="Times New Roman" w:cs="Times New Roman"/>
          <w:sz w:val="32"/>
        </w:rPr>
        <w:t>年一般公共预算财政拨款运行经费</w:t>
      </w:r>
      <w:r>
        <w:rPr>
          <w:rFonts w:ascii="Times New Roman" w:eastAsia="方正仿宋_GBK" w:hAnsi="Times New Roman" w:cs="Times New Roman"/>
          <w:sz w:val="32"/>
        </w:rPr>
        <w:t>43.69</w:t>
      </w:r>
      <w:r>
        <w:rPr>
          <w:rFonts w:ascii="Times New Roman" w:eastAsia="方正仿宋_GBK" w:hAnsi="Times New Roman" w:cs="Times New Roman"/>
          <w:sz w:val="32"/>
        </w:rPr>
        <w:t>万元，比上年减少</w:t>
      </w:r>
      <w:r>
        <w:rPr>
          <w:rFonts w:ascii="Times New Roman" w:eastAsia="方正仿宋_GBK" w:hAnsi="Times New Roman" w:cs="Times New Roman"/>
          <w:sz w:val="32"/>
        </w:rPr>
        <w:t>7.34</w:t>
      </w:r>
      <w:r>
        <w:rPr>
          <w:rFonts w:ascii="Times New Roman" w:eastAsia="方正仿宋_GBK" w:hAnsi="Times New Roman" w:cs="Times New Roman"/>
          <w:sz w:val="32"/>
        </w:rPr>
        <w:t>万元，主要原因为本单位</w:t>
      </w:r>
      <w:r>
        <w:rPr>
          <w:rFonts w:ascii="Times New Roman" w:eastAsia="方正仿宋_GBK" w:hAnsi="Times New Roman" w:cs="Times New Roman"/>
          <w:sz w:val="32"/>
        </w:rPr>
        <w:t>2024</w:t>
      </w:r>
      <w:r>
        <w:rPr>
          <w:rFonts w:ascii="Times New Roman" w:eastAsia="方正仿宋_GBK" w:hAnsi="Times New Roman" w:cs="Times New Roman"/>
          <w:sz w:val="32"/>
        </w:rPr>
        <w:t>年退休</w:t>
      </w:r>
      <w:r>
        <w:rPr>
          <w:rFonts w:ascii="Times New Roman" w:eastAsia="方正仿宋_GBK" w:hAnsi="Times New Roman" w:cs="Times New Roman"/>
          <w:sz w:val="32"/>
        </w:rPr>
        <w:t>4</w:t>
      </w:r>
      <w:r>
        <w:rPr>
          <w:rFonts w:ascii="Times New Roman" w:eastAsia="方正仿宋_GBK" w:hAnsi="Times New Roman" w:cs="Times New Roman"/>
          <w:sz w:val="32"/>
        </w:rPr>
        <w:t>人导致公用经费减少。主要用于办公费、印刷费、邮电费、</w:t>
      </w:r>
      <w:r>
        <w:rPr>
          <w:rFonts w:ascii="Times New Roman" w:eastAsia="方正仿宋_GBK" w:hAnsi="Times New Roman" w:cs="Times New Roman"/>
          <w:sz w:val="32"/>
        </w:rPr>
        <w:lastRenderedPageBreak/>
        <w:t>水电费、物管费、差旅费、会议费、培训费及其他商品和服务支出等。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（二）政府采购情况。</w:t>
      </w:r>
      <w:r>
        <w:rPr>
          <w:rFonts w:ascii="Times New Roman" w:eastAsia="方正仿宋_GBK" w:hAnsi="Times New Roman" w:cs="Times New Roman"/>
          <w:sz w:val="32"/>
        </w:rPr>
        <w:t>本单位政府采购预算总额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万元：政府采购货物预算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万元、政府采购工程预算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万元、政府采购服务预算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万元；其中一般公共预算拨款政府采购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万元：政府采购货物预算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万元、政府采购工程预算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万元、政府采购服务预算</w:t>
      </w:r>
      <w:r>
        <w:rPr>
          <w:rFonts w:ascii="Times New Roman" w:eastAsia="方正仿宋_GBK" w:hAnsi="Times New Roman" w:cs="Times New Roman"/>
          <w:sz w:val="32"/>
        </w:rPr>
        <w:t>0</w:t>
      </w:r>
      <w:r>
        <w:rPr>
          <w:rFonts w:ascii="Times New Roman" w:eastAsia="方正仿宋_GBK" w:hAnsi="Times New Roman" w:cs="Times New Roman"/>
          <w:sz w:val="32"/>
        </w:rPr>
        <w:t>万元。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（三）绩效目标设置情况。</w:t>
      </w:r>
      <w:r>
        <w:rPr>
          <w:rFonts w:ascii="Times New Roman" w:eastAsia="方正仿宋_GBK" w:hAnsi="Times New Roman" w:cs="Times New Roman"/>
          <w:color w:val="000000"/>
          <w:sz w:val="32"/>
        </w:rPr>
        <w:t>2025</w:t>
      </w:r>
      <w:r>
        <w:rPr>
          <w:rFonts w:ascii="Times New Roman" w:eastAsia="方正仿宋_GBK" w:hAnsi="Times New Roman" w:cs="Times New Roman"/>
          <w:color w:val="000000"/>
          <w:sz w:val="32"/>
        </w:rPr>
        <w:t>年项目支出均实行了绩效</w:t>
      </w:r>
      <w:r>
        <w:rPr>
          <w:rFonts w:ascii="Times New Roman" w:eastAsia="方正仿宋_GBK" w:hAnsi="Times New Roman" w:cs="Times New Roman"/>
          <w:color w:val="000000"/>
          <w:sz w:val="32"/>
        </w:rPr>
        <w:t>目标管理，涉及</w:t>
      </w:r>
      <w:r>
        <w:rPr>
          <w:rFonts w:ascii="Times New Roman" w:eastAsia="方正仿宋_GBK" w:hAnsi="Times New Roman" w:cs="Times New Roman"/>
          <w:sz w:val="32"/>
        </w:rPr>
        <w:t>政府性基金预算</w:t>
      </w:r>
      <w:r>
        <w:rPr>
          <w:rFonts w:ascii="Times New Roman" w:eastAsia="方正仿宋_GBK" w:hAnsi="Times New Roman" w:cs="Times New Roman"/>
          <w:color w:val="000000"/>
          <w:sz w:val="32"/>
        </w:rPr>
        <w:t>当年财政拨款</w:t>
      </w:r>
      <w:r>
        <w:rPr>
          <w:rFonts w:ascii="Times New Roman" w:eastAsia="方正仿宋_GBK" w:hAnsi="Times New Roman" w:cs="Times New Roman"/>
          <w:color w:val="000000"/>
          <w:sz w:val="32"/>
        </w:rPr>
        <w:t>6200</w:t>
      </w:r>
      <w:r>
        <w:rPr>
          <w:rFonts w:ascii="Times New Roman" w:eastAsia="方正仿宋_GBK" w:hAnsi="Times New Roman" w:cs="Times New Roman"/>
          <w:color w:val="000000"/>
          <w:sz w:val="32"/>
        </w:rPr>
        <w:t>万元。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</w:rPr>
      </w:pPr>
      <w:r>
        <w:rPr>
          <w:rFonts w:ascii="Times New Roman" w:eastAsia="方正楷体_GBK" w:hAnsi="Times New Roman" w:cs="Times New Roman"/>
          <w:sz w:val="32"/>
        </w:rPr>
        <w:t>（四）国有资产占有使用情况。</w:t>
      </w:r>
      <w:r>
        <w:rPr>
          <w:rFonts w:ascii="Times New Roman" w:eastAsia="方正仿宋_GBK" w:hAnsi="Times New Roman" w:cs="Times New Roman"/>
          <w:color w:val="000000"/>
          <w:sz w:val="32"/>
        </w:rPr>
        <w:t>截至</w:t>
      </w:r>
      <w:r>
        <w:rPr>
          <w:rFonts w:ascii="Times New Roman" w:eastAsia="方正仿宋_GBK" w:hAnsi="Times New Roman" w:cs="Times New Roman"/>
          <w:color w:val="000000"/>
          <w:sz w:val="32"/>
        </w:rPr>
        <w:t>2024</w:t>
      </w:r>
      <w:r>
        <w:rPr>
          <w:rFonts w:ascii="Times New Roman" w:eastAsia="方正仿宋_GBK" w:hAnsi="Times New Roman" w:cs="Times New Roman"/>
          <w:color w:val="000000"/>
          <w:sz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</w:rPr>
        <w:t>12</w:t>
      </w:r>
      <w:r>
        <w:rPr>
          <w:rFonts w:ascii="Times New Roman" w:eastAsia="方正仿宋_GBK" w:hAnsi="Times New Roman" w:cs="Times New Roman"/>
          <w:color w:val="000000"/>
          <w:sz w:val="32"/>
        </w:rPr>
        <w:t>月，本单位共有车辆</w:t>
      </w: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</w:rPr>
        <w:t>辆，其中一般公务用车</w:t>
      </w:r>
      <w:r>
        <w:rPr>
          <w:rFonts w:ascii="Times New Roman" w:eastAsia="方正仿宋_GBK" w:hAnsi="Times New Roman" w:cs="Times New Roman"/>
          <w:color w:val="000000"/>
          <w:sz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</w:rPr>
        <w:t>辆、执勤执法用车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ascii="Times New Roman" w:eastAsia="方正仿宋_GBK" w:hAnsi="Times New Roman" w:cs="Times New Roman"/>
          <w:color w:val="000000"/>
          <w:sz w:val="32"/>
        </w:rPr>
        <w:t>辆。</w:t>
      </w:r>
      <w:r>
        <w:rPr>
          <w:rFonts w:ascii="Times New Roman" w:eastAsia="方正仿宋_GBK" w:hAnsi="Times New Roman" w:cs="Times New Roman"/>
          <w:color w:val="000000"/>
          <w:sz w:val="32"/>
        </w:rPr>
        <w:t>2025</w:t>
      </w:r>
      <w:r>
        <w:rPr>
          <w:rFonts w:ascii="Times New Roman" w:eastAsia="方正仿宋_GBK" w:hAnsi="Times New Roman" w:cs="Times New Roman"/>
          <w:color w:val="000000"/>
          <w:sz w:val="32"/>
        </w:rPr>
        <w:t>年一般公共预算安排购置车辆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ascii="Times New Roman" w:eastAsia="方正仿宋_GBK" w:hAnsi="Times New Roman" w:cs="Times New Roman"/>
          <w:color w:val="000000"/>
          <w:sz w:val="32"/>
        </w:rPr>
        <w:t>辆，其中一般公务用车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ascii="Times New Roman" w:eastAsia="方正仿宋_GBK" w:hAnsi="Times New Roman" w:cs="Times New Roman"/>
          <w:color w:val="000000"/>
          <w:sz w:val="32"/>
        </w:rPr>
        <w:t>辆、执勤执法用车</w:t>
      </w:r>
      <w:r>
        <w:rPr>
          <w:rFonts w:ascii="Times New Roman" w:eastAsia="方正仿宋_GBK" w:hAnsi="Times New Roman" w:cs="Times New Roman"/>
          <w:color w:val="000000"/>
          <w:sz w:val="32"/>
        </w:rPr>
        <w:t>0</w:t>
      </w:r>
      <w:r>
        <w:rPr>
          <w:rFonts w:ascii="Times New Roman" w:eastAsia="方正仿宋_GBK" w:hAnsi="Times New Roman" w:cs="Times New Roman"/>
          <w:color w:val="000000"/>
          <w:sz w:val="32"/>
        </w:rPr>
        <w:t>辆。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六、专业</w:t>
      </w:r>
      <w:proofErr w:type="gramStart"/>
      <w:r>
        <w:rPr>
          <w:rFonts w:ascii="Times New Roman" w:eastAsia="方正黑体_GBK" w:hAnsi="Times New Roman" w:cs="Times New Roman"/>
          <w:sz w:val="32"/>
        </w:rPr>
        <w:t>性名</w:t>
      </w:r>
      <w:proofErr w:type="gramEnd"/>
      <w:r>
        <w:rPr>
          <w:rFonts w:ascii="Times New Roman" w:eastAsia="方正黑体_GBK" w:hAnsi="Times New Roman" w:cs="Times New Roman"/>
          <w:sz w:val="32"/>
        </w:rPr>
        <w:t>词解释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（一）财政拨款收入：</w:t>
      </w:r>
      <w:r>
        <w:rPr>
          <w:rFonts w:ascii="Times New Roman" w:eastAsia="方正仿宋_GBK" w:hAnsi="Times New Roman" w:cs="Times New Roman"/>
          <w:sz w:val="32"/>
          <w:szCs w:val="32"/>
        </w:rPr>
        <w:t>指本年度从本级财政部门取得的财政拨款，包括一般公共预算财政拨款和政府性基金预算财政拨款。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（二）其他收入：</w:t>
      </w:r>
      <w:r>
        <w:rPr>
          <w:rFonts w:ascii="Times New Roman" w:eastAsia="方正仿宋_GBK" w:hAnsi="Times New Roman" w:cs="Times New Roman"/>
          <w:sz w:val="32"/>
          <w:szCs w:val="32"/>
        </w:rPr>
        <w:t>指单位取得的除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财政拨款收入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事业收入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经营收入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等以外的收入。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（三）基本支出：</w:t>
      </w:r>
      <w:r>
        <w:rPr>
          <w:rFonts w:ascii="Times New Roman" w:eastAsia="方正仿宋_GBK" w:hAnsi="Times New Roman" w:cs="Times New Roman"/>
          <w:sz w:val="32"/>
          <w:szCs w:val="32"/>
        </w:rPr>
        <w:t>指为保障机构正常运转、完成日常工作任务而发生的人员经费和公用经费。</w:t>
      </w:r>
    </w:p>
    <w:p w:rsidR="006E4C92" w:rsidRDefault="00680F0C">
      <w:pPr>
        <w:pStyle w:val="a7"/>
        <w:tabs>
          <w:tab w:val="center" w:pos="4153"/>
          <w:tab w:val="left" w:pos="7275"/>
        </w:tabs>
        <w:spacing w:line="60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（四）项目支出：</w:t>
      </w:r>
      <w:r>
        <w:rPr>
          <w:rFonts w:ascii="Times New Roman" w:eastAsia="方正仿宋_GBK" w:hAnsi="Times New Roman" w:cs="Times New Roman"/>
          <w:sz w:val="32"/>
          <w:szCs w:val="32"/>
        </w:rPr>
        <w:t>指在基本支出之外为完成特定行政任务和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事业发展目标所发生的支出。</w:t>
      </w:r>
    </w:p>
    <w:p w:rsidR="006E4C92" w:rsidRDefault="00680F0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sz w:val="32"/>
          <w:szCs w:val="32"/>
        </w:rPr>
        <w:t>三公</w:t>
      </w:r>
      <w:r w:rsidRPr="004D3D9A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楷体_GBK" w:hAnsi="Times New Roman" w:cs="Times New Roman"/>
          <w:sz w:val="32"/>
          <w:szCs w:val="32"/>
        </w:rPr>
        <w:t>经费：</w:t>
      </w:r>
      <w:r>
        <w:rPr>
          <w:rFonts w:ascii="Times New Roman" w:eastAsia="方正仿宋_GBK" w:hAnsi="Times New Roman" w:cs="Times New Roman"/>
          <w:sz w:val="32"/>
          <w:szCs w:val="32"/>
        </w:rPr>
        <w:t>指用一般公共预算财政拨款安排的因公出国（境）费、公务用车购置及运行维护费、公务接待费。其中，因公出国（境）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单位公务用车购置支出（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含车辆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购置税）；公务用车运行维护费反映单位按规定保留的公务用车燃料费、维修费、过路过桥费、保险费、安全奖励</w:t>
      </w:r>
      <w:r>
        <w:rPr>
          <w:rFonts w:ascii="Times New Roman" w:eastAsia="方正仿宋_GBK" w:hAnsi="Times New Roman" w:cs="Times New Roman"/>
          <w:sz w:val="32"/>
          <w:szCs w:val="32"/>
        </w:rPr>
        <w:t>费用等支出；公务接待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费反映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单位按规定开支的各类公务接待（含外宾接待）支出。</w:t>
      </w: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4D3D9A" w:rsidRDefault="004D3D9A">
      <w:pPr>
        <w:spacing w:line="600" w:lineRule="exact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4D3D9A" w:rsidRDefault="004D3D9A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80F0C">
      <w:pPr>
        <w:spacing w:line="600" w:lineRule="exact"/>
        <w:ind w:firstLineChars="200" w:firstLine="88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第二部分：</w:t>
      </w: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sz w:val="44"/>
          <w:szCs w:val="44"/>
        </w:rPr>
        <w:t>年部门预算公开报表</w:t>
      </w:r>
    </w:p>
    <w:p w:rsidR="006E4C92" w:rsidRDefault="006E4C92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</w:p>
    <w:p w:rsidR="006E4C92" w:rsidRDefault="00680F0C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2025</w:t>
      </w:r>
      <w:r>
        <w:rPr>
          <w:rFonts w:ascii="Times New Roman" w:eastAsia="方正黑体_GBK" w:hAnsi="Times New Roman" w:cs="Times New Roman"/>
          <w:sz w:val="32"/>
        </w:rPr>
        <w:t>年部门预算公开报表（详见附表重庆市开州区教育委员会（本级）</w:t>
      </w:r>
      <w:r>
        <w:rPr>
          <w:rFonts w:ascii="Times New Roman" w:eastAsia="方正黑体_GBK" w:hAnsi="Times New Roman" w:cs="Times New Roman"/>
          <w:sz w:val="32"/>
        </w:rPr>
        <w:t>2025</w:t>
      </w:r>
      <w:r>
        <w:rPr>
          <w:rFonts w:ascii="Times New Roman" w:eastAsia="方正黑体_GBK" w:hAnsi="Times New Roman" w:cs="Times New Roman"/>
          <w:sz w:val="32"/>
        </w:rPr>
        <w:t>年部门预算公开报表）</w:t>
      </w:r>
    </w:p>
    <w:p w:rsidR="006E4C92" w:rsidRDefault="00680F0C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</w:rPr>
        <w:t>部门预算公开联系人：廖鑫</w:t>
      </w:r>
      <w:r>
        <w:rPr>
          <w:rFonts w:ascii="Times New Roman" w:eastAsia="方正仿宋_GBK" w:hAnsi="Times New Roman" w:cs="Times New Roman"/>
          <w:b/>
          <w:sz w:val="32"/>
        </w:rPr>
        <w:t xml:space="preserve">  </w:t>
      </w:r>
      <w:r>
        <w:rPr>
          <w:rFonts w:ascii="Times New Roman" w:eastAsia="方正仿宋_GBK" w:hAnsi="Times New Roman" w:cs="Times New Roman"/>
          <w:b/>
          <w:sz w:val="32"/>
        </w:rPr>
        <w:t>联系方式：</w:t>
      </w:r>
      <w:r>
        <w:rPr>
          <w:rFonts w:ascii="Times New Roman" w:eastAsia="方正仿宋_GBK" w:hAnsi="Times New Roman" w:cs="Times New Roman"/>
          <w:b/>
          <w:sz w:val="32"/>
        </w:rPr>
        <w:t>023-5210780</w:t>
      </w:r>
    </w:p>
    <w:p w:rsidR="006E4C92" w:rsidRDefault="006E4C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E4C9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E4C92" w:rsidRDefault="00680F0C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重庆市开州区教育委员会（本级）</w:t>
      </w:r>
    </w:p>
    <w:p w:rsidR="006E4C92" w:rsidRDefault="00680F0C">
      <w:pPr>
        <w:spacing w:line="600" w:lineRule="exact"/>
        <w:jc w:val="center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E4C92" w:rsidRDefault="00680F0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GoBack"/>
      <w:bookmarkEnd w:id="1"/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E4C92">
      <w:pPr>
        <w:spacing w:line="6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E4C92" w:rsidRDefault="00680F0C">
      <w:pPr>
        <w:tabs>
          <w:tab w:val="left" w:pos="1440"/>
        </w:tabs>
        <w:spacing w:line="6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ab/>
      </w:r>
    </w:p>
    <w:p w:rsidR="006E4C92" w:rsidRDefault="00680F0C">
      <w:pPr>
        <w:overflowPunct w:val="0"/>
        <w:spacing w:line="480" w:lineRule="exact"/>
        <w:ind w:firstLineChars="100" w:firstLine="21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342265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.1pt;margin-top:26.95pt;height:0pt;width:442.2pt;mso-position-horizontal-relative:margin;z-index:251659264;mso-width-relative:page;mso-height-relative:page;" filled="f" stroked="t" coordsize="21600,21600" o:gfxdata="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+PE41AAA&#10;AAcBAAAPAAAAAAAAAAEAIAAAACIAAABkcnMvZG93bnJldi54bWxQSwECFAAUAAAACACHTuJAvmuO&#10;EO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615940" cy="0"/>
                <wp:effectExtent l="0" t="4445" r="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1.05pt;height:0pt;width:442.2pt;mso-position-horizontal:center;mso-position-horizontal-relative:margin;z-index:251660288;mso-width-relative:page;mso-height-relative:page;" filled="f" stroked="t" coordsize="21600,21600" o:gfxdata="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XtQA0gAAAAQB&#10;AAAPAAAAAAAAAAEAIAAAACIAAABkcnMvZG93bnJldi54bWxQSwECFAAUAAAACACHTuJAVEHD3OgB&#10;AAC4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Times New Roman"/>
          <w:sz w:val="32"/>
          <w:szCs w:val="32"/>
        </w:rPr>
        <w:t>重庆市开州区教育委员会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办公室　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2025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28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日印发</w:t>
      </w:r>
    </w:p>
    <w:sectPr w:rsidR="006E4C92" w:rsidSect="004D3D9A">
      <w:footerReference w:type="even" r:id="rId8"/>
      <w:footerReference w:type="default" r:id="rId9"/>
      <w:pgSz w:w="11906" w:h="16838" w:code="9"/>
      <w:pgMar w:top="1985" w:right="1446" w:bottom="1644" w:left="1446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0C" w:rsidRDefault="00680F0C">
      <w:r>
        <w:separator/>
      </w:r>
    </w:p>
  </w:endnote>
  <w:endnote w:type="continuationSeparator" w:id="0">
    <w:p w:rsidR="00680F0C" w:rsidRDefault="0068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92" w:rsidRDefault="00680F0C">
    <w:pPr>
      <w:pStyle w:val="a5"/>
      <w:ind w:leftChars="200" w:left="4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144127855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D9A" w:rsidRPr="004D3D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92" w:rsidRDefault="00680F0C">
    <w:pPr>
      <w:pStyle w:val="a5"/>
      <w:ind w:rightChars="200" w:right="4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345702473"/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3D9A" w:rsidRPr="004D3D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0C" w:rsidRDefault="00680F0C">
      <w:r>
        <w:separator/>
      </w:r>
    </w:p>
  </w:footnote>
  <w:footnote w:type="continuationSeparator" w:id="0">
    <w:p w:rsidR="00680F0C" w:rsidRDefault="0068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zkzMTM4ZDAyYzE1YTc1ZDE5Mjk4Y2RmOGEzYmYifQ=="/>
  </w:docVars>
  <w:rsids>
    <w:rsidRoot w:val="007468AC"/>
    <w:rsid w:val="00020A6E"/>
    <w:rsid w:val="00022585"/>
    <w:rsid w:val="000769DE"/>
    <w:rsid w:val="000C588F"/>
    <w:rsid w:val="00173951"/>
    <w:rsid w:val="001A595D"/>
    <w:rsid w:val="001B39D0"/>
    <w:rsid w:val="001C5DF8"/>
    <w:rsid w:val="001D630F"/>
    <w:rsid w:val="00201200"/>
    <w:rsid w:val="0024529D"/>
    <w:rsid w:val="00257EAC"/>
    <w:rsid w:val="002C32AB"/>
    <w:rsid w:val="002C6D3E"/>
    <w:rsid w:val="00366BCB"/>
    <w:rsid w:val="003A388C"/>
    <w:rsid w:val="00405EF4"/>
    <w:rsid w:val="00432738"/>
    <w:rsid w:val="00464D05"/>
    <w:rsid w:val="004A12FC"/>
    <w:rsid w:val="004A4BF6"/>
    <w:rsid w:val="004B0F7E"/>
    <w:rsid w:val="004C7B61"/>
    <w:rsid w:val="004D3D9A"/>
    <w:rsid w:val="004F1A0B"/>
    <w:rsid w:val="004F7FF4"/>
    <w:rsid w:val="005523E5"/>
    <w:rsid w:val="00573967"/>
    <w:rsid w:val="00576D49"/>
    <w:rsid w:val="005D209E"/>
    <w:rsid w:val="00627C64"/>
    <w:rsid w:val="00632E0B"/>
    <w:rsid w:val="0063471F"/>
    <w:rsid w:val="0064314C"/>
    <w:rsid w:val="00680F0C"/>
    <w:rsid w:val="00685754"/>
    <w:rsid w:val="00694C16"/>
    <w:rsid w:val="006D5415"/>
    <w:rsid w:val="006E4C92"/>
    <w:rsid w:val="007140BC"/>
    <w:rsid w:val="00737D3F"/>
    <w:rsid w:val="007468AC"/>
    <w:rsid w:val="007C05D9"/>
    <w:rsid w:val="007C0E65"/>
    <w:rsid w:val="007F30EA"/>
    <w:rsid w:val="00833214"/>
    <w:rsid w:val="008B467B"/>
    <w:rsid w:val="008C6796"/>
    <w:rsid w:val="009375F1"/>
    <w:rsid w:val="00983561"/>
    <w:rsid w:val="00AB06E4"/>
    <w:rsid w:val="00AC1EC0"/>
    <w:rsid w:val="00AC649B"/>
    <w:rsid w:val="00AF39CD"/>
    <w:rsid w:val="00B31D7D"/>
    <w:rsid w:val="00B55F6A"/>
    <w:rsid w:val="00B63FAF"/>
    <w:rsid w:val="00BF6178"/>
    <w:rsid w:val="00C827F3"/>
    <w:rsid w:val="00CC66F4"/>
    <w:rsid w:val="00D05E02"/>
    <w:rsid w:val="00D346D4"/>
    <w:rsid w:val="00D72234"/>
    <w:rsid w:val="00D75676"/>
    <w:rsid w:val="00D922F8"/>
    <w:rsid w:val="00EA620F"/>
    <w:rsid w:val="00EF617F"/>
    <w:rsid w:val="00F34381"/>
    <w:rsid w:val="00F34C12"/>
    <w:rsid w:val="00F3664F"/>
    <w:rsid w:val="00F36862"/>
    <w:rsid w:val="00F71DEB"/>
    <w:rsid w:val="04567CE7"/>
    <w:rsid w:val="06B84924"/>
    <w:rsid w:val="0AC931B2"/>
    <w:rsid w:val="0C0F3DEA"/>
    <w:rsid w:val="0D060F2A"/>
    <w:rsid w:val="0D0B60CC"/>
    <w:rsid w:val="0DB1023D"/>
    <w:rsid w:val="101732D5"/>
    <w:rsid w:val="108E4341"/>
    <w:rsid w:val="113C78AB"/>
    <w:rsid w:val="17CF39DE"/>
    <w:rsid w:val="1A225235"/>
    <w:rsid w:val="1B1937F4"/>
    <w:rsid w:val="1BA52044"/>
    <w:rsid w:val="1C8B6947"/>
    <w:rsid w:val="1E9021D3"/>
    <w:rsid w:val="2444764D"/>
    <w:rsid w:val="24C256CD"/>
    <w:rsid w:val="24D006AE"/>
    <w:rsid w:val="25B2107A"/>
    <w:rsid w:val="265D6A7F"/>
    <w:rsid w:val="27557402"/>
    <w:rsid w:val="281A097A"/>
    <w:rsid w:val="2A3B3D44"/>
    <w:rsid w:val="2AAB106E"/>
    <w:rsid w:val="2CA4259A"/>
    <w:rsid w:val="37543628"/>
    <w:rsid w:val="38195918"/>
    <w:rsid w:val="38897512"/>
    <w:rsid w:val="3AAF3320"/>
    <w:rsid w:val="41E50435"/>
    <w:rsid w:val="436828F7"/>
    <w:rsid w:val="46287A7D"/>
    <w:rsid w:val="47C33C7C"/>
    <w:rsid w:val="48422FB1"/>
    <w:rsid w:val="4C8754DF"/>
    <w:rsid w:val="52AA45E0"/>
    <w:rsid w:val="59FD4EB3"/>
    <w:rsid w:val="5B464F22"/>
    <w:rsid w:val="60EA6962"/>
    <w:rsid w:val="685D6BCD"/>
    <w:rsid w:val="6B803951"/>
    <w:rsid w:val="6DA32155"/>
    <w:rsid w:val="71AD1D84"/>
    <w:rsid w:val="74C7357F"/>
    <w:rsid w:val="786D24FD"/>
    <w:rsid w:val="79060B56"/>
    <w:rsid w:val="7A6F326E"/>
    <w:rsid w:val="7DBA355D"/>
    <w:rsid w:val="7F15342C"/>
    <w:rsid w:val="7FC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1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577</Words>
  <Characters>3295</Characters>
  <Application>Microsoft Office Word</Application>
  <DocSecurity>0</DocSecurity>
  <Lines>27</Lines>
  <Paragraphs>7</Paragraphs>
  <ScaleCrop>false</ScaleCrop>
  <Company>Users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54</cp:revision>
  <cp:lastPrinted>2025-03-13T06:29:00Z</cp:lastPrinted>
  <dcterms:created xsi:type="dcterms:W3CDTF">2023-02-27T08:58:00Z</dcterms:created>
  <dcterms:modified xsi:type="dcterms:W3CDTF">2025-03-13T09:33:00Z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D74BA71DFF8844AC99595BEE23D2417D</vt:lpwstr>
  </property>
</Properties>
</file>