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关于《重庆市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开州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区个体工商户“名特优新”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分类标准及认定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办法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》（征求意见稿）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的起草说明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为贯彻党中央、国务院关于促进个体工商户发展的决策部署，落实《促进个体工商户发展条例》，提升个体工商户总体发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展质量，根据市场监管总局等15部门《关于开展个体工商户分型分类精准帮扶提升发展质量的指导意见》要求，结合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区实际，重庆市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区市场监督管理局研究起草了《重庆市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区个体工商户“名特优新”分类标准及认定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（征求意见稿）》（以下简称征求意见稿），现就有关情况说明如下：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一、起草背景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是社会主义市场经济的重要组成部分，在繁荣经济、稳定就业、方便群众生活等方面发挥着独特作用。党中央、国务院高度重视个体工商户发展，习近平总书记指出，要积极帮助个体工商户解决租金、税费、社保、融资等方面的难题，提供更直接更有效的政策帮扶。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，国务院出台《促进个体工商户发展条例》，从促进发展、规范秩序、创造环境、维护权益等方面，提供了促进个体工商户发展的政策依据和手段。去年，中共中央国务院发布《关于促进民营经济发展壮大的意见》，对促进个体工商户健康发展提出一系列支持措施。今年，国务院政府工作报告提出，加强对个体工商户分类帮扶支持，进一步指明促进个体工商户发展的有效路径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月，国家市场监管总局等15部门联合印发《关于开展个体工商户分型分类精准帮扶提升发展质量的指导意见》（国市监注发〔2024〕10 号），就在全国范围内开展个体工商户分型分类精准帮扶进行安排部署。为落实党中央、国务院决策部署，鼓励、支持和引导我区个体经济健康发展，按照市委、市政府有关工作要求及区委、区政府工作安排，结合我区实际，我们起草了《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区个体工商户“名特优新”分类标准及认定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（征求意见稿）》。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二、起草征求意见稿的主要过程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根据国家市场监管总局等15部门《关于开展个体工商户分型分类精准帮扶提升发展质量的指导意见》，按照重庆市扶持个体工商户发展部门联席会议办公室工作要求，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区结合实际，由重庆市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区市场监督管理局牵头，面向区内个体工商户广泛调研，听取意见建议，研究起草了征求意见稿。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三、征求意见稿的主要内容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征求意见稿共有八大方面，主要内容如下：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（一）基本概念。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“名”即“知名”个体工商户；“特”即“特色”个体工商户；“优”即“优质”个体工商户；“新”即“新兴”个体工商户。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对象。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登记在册（不含注销、吊销、歇业、撤销登记状态）符合分型分类条件的个体工商户。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（三）分类原则。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坚持政府主导、自愿参与、择优认定、公正公开的原则。符合分类标准的个体工商户，经自主申报或者部门推荐，由市场监管部门认定后，成为“名特优新”个体工商户。“名特优新”认定信息通过国家企业信用信息公示系统记于个体工商户名下，并进行标注和公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（四）分类来源。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一是自主申报</w:t>
      </w:r>
      <w:r>
        <w:rPr>
          <w:rFonts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个体工商户登录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全国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名特优新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个体工商户培育平台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（以下简称培育平台）自主申报。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二是部门推荐。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相关部门对具有代表性、亟需进行保护、具有导向作用的个体工商户，如老字号、非物质文化遗产传承人、发明专利持有人、乡村工匠、退役军人创业者、行业领域内优秀代表人物等，在征求经营者意愿的基础上予以推荐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挖掘培育。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开州区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市场监管局可以组织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行业主管部门、行业协会（商会）通过实地走访、数据比对等方式，挖掘培育本行业“名特优新”个体工商户。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（五）分类标准。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分型实行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基础标准全国统一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、分型标准以省为单位确定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，分类标准由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结合自身资源禀赋、产业特色和发展导向，科学制定本地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名特优新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个体工商户的分类标准。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（六）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比例。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名特优新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个体工商户认定数量控制在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成长型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发展型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个体工商户总数量的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5%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以内（以每年个体工商户集中分型判定数量为基准）。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（七）认定程序。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申报推荐——情况核实——集中评审——信息公示——异议处理——认定备案——标识标牌。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（八）有效期和评估确认。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1.有效期。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名特优新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个体工商户认定有效期为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年，以认定时间为准。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2.评估确认。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区市场监管局每年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月对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名特优新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个体工商户信息报告进行审核，并对是否继续符合分型和分类基础标准进行确认。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</w:rPr>
        <w:t>3.撤销认定。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在申报过程中以欺诈、贿赂等手段隐瞒真实情况、弄虚作假取得认定的，撤销认定。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重庆市开州区市场监督管理局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2024年5月30日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3817"/>
    <w:rsid w:val="07F87B00"/>
    <w:rsid w:val="0EBE0ACC"/>
    <w:rsid w:val="0EFC4640"/>
    <w:rsid w:val="10E87C75"/>
    <w:rsid w:val="17BF1C39"/>
    <w:rsid w:val="25D4748D"/>
    <w:rsid w:val="27497357"/>
    <w:rsid w:val="376918E5"/>
    <w:rsid w:val="38DA7821"/>
    <w:rsid w:val="4E302347"/>
    <w:rsid w:val="515E7989"/>
    <w:rsid w:val="51D21DE2"/>
    <w:rsid w:val="56E57B5F"/>
    <w:rsid w:val="61611298"/>
    <w:rsid w:val="6F40582B"/>
    <w:rsid w:val="78552B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Administrator</cp:lastModifiedBy>
  <dcterms:modified xsi:type="dcterms:W3CDTF">2024-05-30T09:32:42Z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