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6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 w:cs="Times New Roman"/>
          <w:color w:val="auto"/>
          <w:sz w:val="44"/>
          <w:szCs w:val="44"/>
          <w:highlight w:val="none"/>
        </w:rPr>
      </w:pPr>
    </w:p>
    <w:p w14:paraId="1BE1F16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45F767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3F4099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2C49E3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299B33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4209AB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highlight w:val="none"/>
        </w:rPr>
      </w:pPr>
    </w:p>
    <w:p w14:paraId="08088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  <w:r>
        <w:rPr>
          <w:rFonts w:eastAsia="方正仿宋_GBK" w:cs="Times New Roman"/>
          <w:color w:val="auto"/>
          <w:sz w:val="32"/>
          <w:szCs w:val="32"/>
          <w:highlight w:val="none"/>
        </w:rPr>
        <w:t>开州发改审〔202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621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号</w:t>
      </w:r>
    </w:p>
    <w:p w14:paraId="4925FF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 w:firstLineChars="0"/>
        <w:textAlignment w:val="auto"/>
        <w:rPr>
          <w:rFonts w:ascii="Times New Roman" w:hAnsi="Times New Roman" w:cs="Times New Roman"/>
          <w:color w:val="auto"/>
          <w:highlight w:val="none"/>
        </w:rPr>
      </w:pPr>
    </w:p>
    <w:p w14:paraId="51CA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eastAsia="方正小标宋_GBK" w:cs="Times New Roman"/>
          <w:color w:val="auto"/>
          <w:sz w:val="44"/>
          <w:szCs w:val="44"/>
          <w:highlight w:val="none"/>
        </w:rPr>
      </w:pPr>
      <w:r>
        <w:rPr>
          <w:rFonts w:eastAsia="方正小标宋_GBK" w:cs="Times New Roman"/>
          <w:color w:val="auto"/>
          <w:sz w:val="44"/>
          <w:szCs w:val="44"/>
          <w:highlight w:val="none"/>
        </w:rPr>
        <w:t>重庆市开州区发展和改革委员会</w:t>
      </w:r>
    </w:p>
    <w:p w14:paraId="197E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eastAsia="方正小标宋_GBK" w:cs="Times New Roman"/>
          <w:b w:val="0"/>
          <w:bCs w:val="0"/>
          <w:color w:val="auto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highlight w:val="none"/>
        </w:rPr>
        <w:t>XZ01天和至三汇口段公路改造工程</w:t>
      </w:r>
    </w:p>
    <w:p w14:paraId="0990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 w:cs="Times New Roman"/>
          <w:color w:val="auto"/>
          <w:sz w:val="44"/>
          <w:szCs w:val="44"/>
          <w:highlight w:val="none"/>
        </w:rPr>
      </w:pPr>
      <w:r>
        <w:rPr>
          <w:rFonts w:eastAsia="方正小标宋_GBK" w:cs="Times New Roman"/>
          <w:color w:val="auto"/>
          <w:sz w:val="44"/>
          <w:szCs w:val="44"/>
          <w:highlight w:val="none"/>
        </w:rPr>
        <w:t>总投资概算的批复</w:t>
      </w:r>
    </w:p>
    <w:p w14:paraId="0E8F9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354B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重庆宏畅交通发展集团有限公司：</w:t>
      </w:r>
    </w:p>
    <w:p w14:paraId="3E21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 w:cs="Times New Roman"/>
          <w:color w:val="auto"/>
          <w:highlight w:val="none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你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《关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于审批XZ01天和至三汇口段公路改造工程总投资概算的函》（渝宏交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〔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67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号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及相关材料收悉。根据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重庆市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开州区交通局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XZ01天和至三汇口段公路改造工程两阶段初步设计的批复》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（开州交设〔2024〕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号），</w:t>
      </w:r>
      <w:r>
        <w:rPr>
          <w:rFonts w:hint="eastAsia" w:eastAsia="方正仿宋_GBK" w:cs="Times New Roman"/>
          <w:color w:val="auto"/>
          <w:sz w:val="32"/>
          <w:szCs w:val="32"/>
        </w:rPr>
        <w:t>结合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四川齐远建设项目管理有限公司</w:t>
      </w:r>
      <w:r>
        <w:rPr>
          <w:rFonts w:hint="eastAsia" w:eastAsia="方正仿宋_GBK" w:cs="Times New Roman"/>
          <w:color w:val="auto"/>
          <w:sz w:val="32"/>
          <w:szCs w:val="32"/>
        </w:rPr>
        <w:t>出具的《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XZ01天和至三汇口段公路改造工程</w:t>
      </w:r>
      <w:r>
        <w:rPr>
          <w:rFonts w:hint="eastAsia" w:eastAsia="方正仿宋_GBK" w:cs="Times New Roman"/>
          <w:color w:val="auto"/>
          <w:sz w:val="32"/>
          <w:szCs w:val="32"/>
        </w:rPr>
        <w:t>概算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审核</w:t>
      </w:r>
      <w:r>
        <w:rPr>
          <w:rFonts w:hint="eastAsia" w:eastAsia="方正仿宋_GBK" w:cs="Times New Roman"/>
          <w:color w:val="auto"/>
          <w:sz w:val="32"/>
          <w:szCs w:val="32"/>
        </w:rPr>
        <w:t>报告》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四川齐远〔2024〕第005号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经研究，现将该项目总投资概算有关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批复如下：</w:t>
      </w:r>
    </w:p>
    <w:p w14:paraId="2DE8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一、项目法人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。重庆宏畅交通发展集团有限公司。</w:t>
      </w:r>
    </w:p>
    <w:p w14:paraId="5015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zh-CN"/>
        </w:rPr>
        <w:t>、项目代码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23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-500154-04-01-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589612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577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三、建设内容及规模。</w:t>
      </w:r>
      <w:r>
        <w:rPr>
          <w:rFonts w:hint="eastAsia" w:eastAsia="方正仿宋_GBK" w:cs="Times New Roman"/>
          <w:color w:val="auto"/>
          <w:sz w:val="32"/>
          <w:szCs w:val="32"/>
        </w:rPr>
        <w:t>项目起于天和镇天河村村委会桥头，止于三汇口乡分水街，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改造公路</w:t>
      </w:r>
      <w:r>
        <w:rPr>
          <w:rFonts w:hint="eastAsia" w:eastAsia="方正仿宋_GBK" w:cs="Times New Roman"/>
          <w:color w:val="auto"/>
          <w:sz w:val="32"/>
          <w:szCs w:val="32"/>
        </w:rPr>
        <w:t>全长8.51km。公路等级为三级公路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</w:rPr>
        <w:t>主要建设内容包含：路基工程、路面工程、桥涵工程、交安工程等。</w:t>
      </w:r>
    </w:p>
    <w:p w14:paraId="7C49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四、核定投资规模及资金来源。</w:t>
      </w:r>
      <w:r>
        <w:rPr>
          <w:rFonts w:eastAsia="方正仿宋_GBK"/>
          <w:color w:val="auto"/>
          <w:sz w:val="32"/>
          <w:szCs w:val="32"/>
        </w:rPr>
        <w:t>核定项目总投资概算控制在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7811.30</w:t>
      </w:r>
      <w:r>
        <w:rPr>
          <w:rFonts w:eastAsia="方正仿宋_GBK"/>
          <w:color w:val="auto"/>
          <w:sz w:val="32"/>
          <w:szCs w:val="32"/>
        </w:rPr>
        <w:t>万元以内（分项构成详见附表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eastAsia="方正仿宋_GBK"/>
          <w:color w:val="auto"/>
          <w:sz w:val="32"/>
          <w:szCs w:val="32"/>
        </w:rPr>
        <w:t>，其中：建筑安装工程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5603.72</w:t>
      </w:r>
      <w:r>
        <w:rPr>
          <w:rFonts w:eastAsia="方正仿宋_GBK"/>
          <w:color w:val="auto"/>
          <w:sz w:val="32"/>
          <w:szCs w:val="32"/>
        </w:rPr>
        <w:t>万元，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土地使用及拆迁补偿费1328.54万元，</w:t>
      </w:r>
      <w:r>
        <w:rPr>
          <w:rFonts w:eastAsia="方正仿宋_GBK"/>
          <w:color w:val="auto"/>
          <w:sz w:val="32"/>
          <w:szCs w:val="32"/>
        </w:rPr>
        <w:t>工程建设其他费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507.07</w:t>
      </w:r>
      <w:r>
        <w:rPr>
          <w:rFonts w:eastAsia="方正仿宋_GBK"/>
          <w:color w:val="auto"/>
          <w:sz w:val="32"/>
          <w:szCs w:val="32"/>
        </w:rPr>
        <w:t>万元，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基本预备费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371.97</w:t>
      </w:r>
      <w:r>
        <w:rPr>
          <w:rFonts w:eastAsia="方正仿宋_GBK"/>
          <w:color w:val="auto"/>
          <w:sz w:val="32"/>
          <w:szCs w:val="32"/>
        </w:rPr>
        <w:t>万元。资金来源：</w:t>
      </w:r>
      <w:r>
        <w:rPr>
          <w:rFonts w:hint="eastAsia" w:eastAsia="方正仿宋_GBK"/>
          <w:color w:val="auto"/>
          <w:sz w:val="32"/>
          <w:szCs w:val="32"/>
        </w:rPr>
        <w:t>争取上级补助资金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及项目法人负责自筹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。</w:t>
      </w:r>
    </w:p>
    <w:p w14:paraId="3D91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五、加强项目管理。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严格执行项目法人责任制、招投标制、合同管理制、工程监理制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严格做好投资控制，不得擅自增加建设内容、扩大建设规模、提高建设标准或改变设计方案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项目建设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投资不得超过经核定的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投资概算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。</w:t>
      </w:r>
    </w:p>
    <w:p w14:paraId="18FDA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六、加强资金管理。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该项目应在资金落实到位后实施，并实行专款专用、专账核算，不得挤占、挪用其他项目资金。</w:t>
      </w:r>
    </w:p>
    <w:p w14:paraId="281848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1918" w:leftChars="304" w:hanging="1280" w:hangingChars="4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4163F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58" w:leftChars="304" w:hanging="1120" w:hangingChars="35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XZ01天和至三汇口段公路改造工程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总投资概算核定表</w:t>
      </w:r>
    </w:p>
    <w:p w14:paraId="7496D0A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49" w:leftChars="709" w:hanging="160" w:hangingChars="5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XZ01天和至三汇口段公路改造工程概算审核报告》（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四川齐远〔2024〕第005号）</w:t>
      </w:r>
    </w:p>
    <w:p w14:paraId="58D0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</w:p>
    <w:p w14:paraId="50D0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520" w:firstLineChars="1100"/>
        <w:textAlignment w:val="auto"/>
        <w:rPr>
          <w:rFonts w:eastAsia="方正仿宋_GBK" w:cs="Times New Roman"/>
          <w:color w:val="auto"/>
          <w:highlight w:val="none"/>
        </w:rPr>
      </w:pPr>
      <w:r>
        <w:rPr>
          <w:rFonts w:eastAsia="方正仿宋_GBK" w:cs="Times New Roman"/>
          <w:color w:val="auto"/>
          <w:sz w:val="32"/>
          <w:szCs w:val="32"/>
          <w:highlight w:val="none"/>
        </w:rPr>
        <w:t>重庆市开州区发展和改革委员会</w:t>
      </w:r>
    </w:p>
    <w:p w14:paraId="5E5B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31" w:rightChars="15" w:firstLine="4480" w:firstLineChars="1400"/>
        <w:textAlignment w:val="auto"/>
        <w:rPr>
          <w:rFonts w:eastAsia="方正仿宋_GBK" w:cs="Times New Roman"/>
          <w:color w:val="auto"/>
          <w:sz w:val="32"/>
          <w:szCs w:val="32"/>
          <w:highlight w:val="none"/>
        </w:rPr>
      </w:pPr>
      <w:r>
        <w:rPr>
          <w:rFonts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日</w:t>
      </w:r>
    </w:p>
    <w:p w14:paraId="71A035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br w:type="page"/>
      </w:r>
    </w:p>
    <w:p w14:paraId="2A1E8FCE">
      <w:pPr>
        <w:pStyle w:val="2"/>
        <w:ind w:left="0" w:leftChars="0"/>
        <w:rPr>
          <w:rFonts w:ascii="Times New Roman" w:hAnsi="Times New Roman" w:eastAsia="方正小标宋_GBK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附件1：</w:t>
      </w:r>
    </w:p>
    <w:p w14:paraId="717F91E6">
      <w:pPr>
        <w:spacing w:line="560" w:lineRule="exact"/>
        <w:jc w:val="center"/>
        <w:rPr>
          <w:rFonts w:eastAsia="方正小标宋_GBK"/>
          <w:bCs/>
          <w:color w:val="auto"/>
          <w:sz w:val="36"/>
          <w:szCs w:val="36"/>
        </w:rPr>
      </w:pP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XZ01</w:t>
      </w:r>
      <w:r>
        <w:rPr>
          <w:rFonts w:hint="eastAsia" w:eastAsia="方正小标宋_GBK"/>
          <w:b/>
          <w:bCs w:val="0"/>
          <w:color w:val="auto"/>
          <w:sz w:val="36"/>
          <w:szCs w:val="36"/>
          <w:lang w:eastAsia="zh-CN"/>
        </w:rPr>
        <w:t>天</w:t>
      </w: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和</w:t>
      </w:r>
      <w:r>
        <w:rPr>
          <w:rFonts w:hint="eastAsia" w:eastAsia="方正小标宋_GBK"/>
          <w:b/>
          <w:bCs w:val="0"/>
          <w:color w:val="auto"/>
          <w:sz w:val="36"/>
          <w:szCs w:val="36"/>
          <w:lang w:eastAsia="zh-CN"/>
        </w:rPr>
        <w:t>至三汇口段公</w:t>
      </w: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路改</w:t>
      </w:r>
      <w:r>
        <w:rPr>
          <w:rFonts w:hint="eastAsia" w:eastAsia="方正小标宋_GBK"/>
          <w:b/>
          <w:bCs w:val="0"/>
          <w:color w:val="auto"/>
          <w:sz w:val="36"/>
          <w:szCs w:val="36"/>
          <w:lang w:eastAsia="zh-CN"/>
        </w:rPr>
        <w:t>造</w:t>
      </w: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工</w:t>
      </w:r>
      <w:r>
        <w:rPr>
          <w:rFonts w:hint="eastAsia" w:eastAsia="方正小标宋_GBK"/>
          <w:b/>
          <w:bCs w:val="0"/>
          <w:color w:val="auto"/>
          <w:sz w:val="36"/>
          <w:szCs w:val="36"/>
          <w:lang w:eastAsia="zh-CN"/>
        </w:rPr>
        <w:t>程</w:t>
      </w:r>
      <w:r>
        <w:rPr>
          <w:rFonts w:hint="eastAsia" w:eastAsia="方正小标宋_GBK"/>
          <w:bCs/>
          <w:color w:val="auto"/>
          <w:sz w:val="36"/>
          <w:szCs w:val="36"/>
        </w:rPr>
        <w:t>总投资概算核定表</w:t>
      </w:r>
    </w:p>
    <w:p w14:paraId="460D0A02">
      <w:pPr>
        <w:spacing w:line="560" w:lineRule="exact"/>
        <w:ind w:right="31" w:rightChars="15" w:firstLine="7000" w:firstLineChars="2500"/>
        <w:rPr>
          <w:rFonts w:hint="eastAsia" w:eastAsia="方正仿宋_GBK"/>
          <w:color w:val="auto"/>
          <w:kern w:val="0"/>
          <w:sz w:val="28"/>
          <w:szCs w:val="28"/>
        </w:rPr>
      </w:pPr>
      <w:r>
        <w:rPr>
          <w:rFonts w:eastAsia="方正仿宋_GBK"/>
          <w:color w:val="auto"/>
          <w:kern w:val="0"/>
          <w:sz w:val="28"/>
          <w:szCs w:val="28"/>
        </w:rPr>
        <w:t>单位：万</w:t>
      </w:r>
      <w:r>
        <w:rPr>
          <w:rFonts w:hint="eastAsia" w:eastAsia="方正仿宋_GBK"/>
          <w:color w:val="auto"/>
          <w:kern w:val="0"/>
          <w:sz w:val="28"/>
          <w:szCs w:val="28"/>
        </w:rPr>
        <w:t>元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792"/>
        <w:gridCol w:w="1214"/>
        <w:gridCol w:w="4201"/>
      </w:tblGrid>
      <w:tr w14:paraId="1B53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C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核定金额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计费依据</w:t>
            </w:r>
          </w:p>
        </w:tc>
      </w:tr>
      <w:tr w14:paraId="1F69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8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一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D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5603.72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6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 w14:paraId="2D7A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18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二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3C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土地使用及拆迁补偿费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1328.54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2C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 w14:paraId="39D8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土地使用费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468.90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E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开州府发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〔2021〕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9号</w:t>
            </w:r>
          </w:p>
        </w:tc>
      </w:tr>
      <w:tr w14:paraId="102A2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9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0B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拆迁补偿费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815.35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CC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开州府发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〔2021〕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9号</w:t>
            </w:r>
          </w:p>
        </w:tc>
      </w:tr>
      <w:tr w14:paraId="05FD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F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9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其他补偿费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44.29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FC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开州府发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〔2021〕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9号</w:t>
            </w:r>
          </w:p>
        </w:tc>
      </w:tr>
      <w:tr w14:paraId="4DF0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27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2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工程建设其他费用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507.07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6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 w14:paraId="6A85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49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.1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76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建设项目管理费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301.72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8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6A8C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C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.1.1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3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建设单位（业主）管理费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163.72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19E6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B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3.1.2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3F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建设项目信息化费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19.31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02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4B876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9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.1.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F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工程监理费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109.91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4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1356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9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3.1.4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8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设计文件审查费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B8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61CA8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5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3.1.5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34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竣（交）工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验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收试验检测费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F4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2F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7620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47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.2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A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建设项目前期工作费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AD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29.17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9" w:leftChars="66" w:hanging="920" w:hangingChars="5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8"/>
                <w:sz w:val="24"/>
                <w:szCs w:val="24"/>
              </w:rPr>
              <w:t>《公路工程建设项目概算预算编制办法》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（JTG3830-2018）</w:t>
            </w:r>
          </w:p>
        </w:tc>
      </w:tr>
      <w:tr w14:paraId="1426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9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专项评价（估）费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52.04 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F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22AB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7A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D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生产准备费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1.73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1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5200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1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工程保险费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22.41 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00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pacing w:val="-20"/>
                <w:sz w:val="24"/>
                <w:szCs w:val="24"/>
              </w:rPr>
              <w:t>《公路工程建设项目概算预算编制办法》（JTG3830-2018）</w:t>
            </w:r>
          </w:p>
        </w:tc>
      </w:tr>
      <w:tr w14:paraId="1C25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0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</w:rPr>
              <w:t>预备费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371.97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2F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</w:p>
        </w:tc>
      </w:tr>
      <w:tr w14:paraId="3A1B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9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.1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14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基本预备费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A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371.97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F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（一+二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）*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%</w:t>
            </w:r>
          </w:p>
        </w:tc>
      </w:tr>
      <w:tr w14:paraId="0A1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BB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7811.30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2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（一+二+三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+四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</w:tbl>
    <w:p w14:paraId="10B6E843">
      <w:pPr>
        <w:rPr>
          <w:color w:val="auto"/>
        </w:rPr>
      </w:pPr>
      <w:r>
        <w:rPr>
          <w:color w:val="auto"/>
        </w:rPr>
        <w:br w:type="page"/>
      </w:r>
    </w:p>
    <w:p w14:paraId="1C59F257">
      <w:pPr>
        <w:rPr>
          <w:color w:val="auto"/>
        </w:rPr>
      </w:pPr>
    </w:p>
    <w:p w14:paraId="79BDD3FA">
      <w:pPr>
        <w:pStyle w:val="2"/>
        <w:rPr>
          <w:color w:val="auto"/>
        </w:rPr>
      </w:pPr>
    </w:p>
    <w:p w14:paraId="427D3454">
      <w:pPr>
        <w:rPr>
          <w:color w:val="auto"/>
        </w:rPr>
      </w:pPr>
    </w:p>
    <w:p w14:paraId="6EC5AA36">
      <w:pPr>
        <w:pStyle w:val="2"/>
        <w:rPr>
          <w:color w:val="auto"/>
        </w:rPr>
      </w:pPr>
    </w:p>
    <w:p w14:paraId="5FEA8261">
      <w:pPr>
        <w:rPr>
          <w:color w:val="auto"/>
        </w:rPr>
      </w:pPr>
    </w:p>
    <w:p w14:paraId="7ACC7AE8">
      <w:pPr>
        <w:pStyle w:val="2"/>
        <w:rPr>
          <w:color w:val="auto"/>
        </w:rPr>
      </w:pPr>
    </w:p>
    <w:p w14:paraId="18D66D49">
      <w:pPr>
        <w:rPr>
          <w:color w:val="auto"/>
        </w:rPr>
      </w:pPr>
    </w:p>
    <w:p w14:paraId="4D2D4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63AA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0A8740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24A1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54BD95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4F25E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05BA92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1C807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341EFF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46D98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28FE9E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color w:val="auto"/>
        </w:rPr>
      </w:pPr>
    </w:p>
    <w:p w14:paraId="6D1EC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4223E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78E545F">
      <w:pPr>
        <w:pBdr>
          <w:top w:val="single" w:color="auto" w:sz="6" w:space="1"/>
          <w:bottom w:val="single" w:color="auto" w:sz="6" w:space="7"/>
        </w:pBdr>
        <w:spacing w:line="460" w:lineRule="exact"/>
        <w:jc w:val="center"/>
        <w:rPr>
          <w:color w:val="auto"/>
        </w:rPr>
      </w:pPr>
      <w:r>
        <w:rPr>
          <w:rFonts w:eastAsia="方正仿宋_GBK"/>
          <w:color w:val="auto"/>
          <w:sz w:val="28"/>
          <w:szCs w:val="28"/>
        </w:rPr>
        <w:t xml:space="preserve">重庆市开州区发展和改革委员会办公室  </w:t>
      </w:r>
      <w:r>
        <w:rPr>
          <w:rFonts w:hint="eastAsia" w:eastAsia="方正仿宋_GBK"/>
          <w:color w:val="auto"/>
          <w:sz w:val="28"/>
          <w:szCs w:val="28"/>
        </w:rPr>
        <w:t xml:space="preserve">    </w:t>
      </w:r>
      <w:r>
        <w:rPr>
          <w:rFonts w:eastAsia="方正仿宋_GBK"/>
          <w:color w:val="auto"/>
          <w:sz w:val="28"/>
          <w:szCs w:val="28"/>
        </w:rPr>
        <w:t xml:space="preserve">  </w:t>
      </w:r>
      <w:r>
        <w:rPr>
          <w:rFonts w:hint="eastAsia" w:eastAsia="方正仿宋_GBK"/>
          <w:color w:val="auto"/>
          <w:sz w:val="28"/>
          <w:szCs w:val="28"/>
        </w:rPr>
        <w:t xml:space="preserve"> 2024</w:t>
      </w:r>
      <w:r>
        <w:rPr>
          <w:rFonts w:eastAsia="方正仿宋_GBK"/>
          <w:color w:val="auto"/>
          <w:sz w:val="28"/>
          <w:szCs w:val="28"/>
        </w:rPr>
        <w:t>年</w:t>
      </w:r>
      <w:r>
        <w:rPr>
          <w:rFonts w:hint="eastAsia" w:eastAsia="方正仿宋_GBK"/>
          <w:color w:val="auto"/>
          <w:sz w:val="28"/>
          <w:szCs w:val="28"/>
          <w:lang w:val="en-US" w:eastAsia="zh-CN"/>
        </w:rPr>
        <w:t>10</w:t>
      </w:r>
      <w:r>
        <w:rPr>
          <w:rFonts w:eastAsia="方正仿宋_GBK"/>
          <w:color w:val="auto"/>
          <w:sz w:val="28"/>
          <w:szCs w:val="28"/>
        </w:rPr>
        <w:t>月</w:t>
      </w:r>
      <w:r>
        <w:rPr>
          <w:rFonts w:hint="eastAsia" w:eastAsia="方正仿宋_GBK"/>
          <w:color w:val="auto"/>
          <w:sz w:val="28"/>
          <w:szCs w:val="28"/>
          <w:lang w:val="en-US" w:eastAsia="zh-CN"/>
        </w:rPr>
        <w:t>21</w:t>
      </w:r>
      <w:r>
        <w:rPr>
          <w:rFonts w:hint="eastAsia" w:eastAsia="方正仿宋_GBK"/>
          <w:color w:val="auto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567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7A6D362-D4ED-4A3D-8841-BE4435C6B3D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199B7EC-9581-40B3-B00C-2862D33E374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85228D-A2A7-4DBF-8600-B87AAC4392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BD07"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-106045</wp:posOffset>
              </wp:positionV>
              <wp:extent cx="963295" cy="25590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295" cy="2559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1BA353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8.35pt;height:20.15pt;width:75.85pt;mso-position-horizontal:outside;mso-position-horizontal-relative:margin;z-index:251659264;mso-width-relative:page;mso-height-relative:page;" filled="f" stroked="f" coordsize="21600,21600" o:gfxdata="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+W8svZAAAABwEAAA8AAAAAAAAAAQAgAAAAIgAAAGRycy9kb3du&#10;cmV2LnhtbFBLAQIUABQAAAAIAIdO4kDHUuyGxQEAAHg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1BA353">
                    <w:pPr>
                      <w:pStyle w:val="4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2BA9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gxNGIyY2YwMTAyZWVkNTQwYjZkNDUyODhhMDUifQ=="/>
  </w:docVars>
  <w:rsids>
    <w:rsidRoot w:val="009E01B4"/>
    <w:rsid w:val="00041A28"/>
    <w:rsid w:val="0007257D"/>
    <w:rsid w:val="001F17AC"/>
    <w:rsid w:val="00200C0B"/>
    <w:rsid w:val="00216919"/>
    <w:rsid w:val="002E2B8E"/>
    <w:rsid w:val="003669A4"/>
    <w:rsid w:val="004F2E44"/>
    <w:rsid w:val="00541525"/>
    <w:rsid w:val="00785325"/>
    <w:rsid w:val="0091135A"/>
    <w:rsid w:val="009D600C"/>
    <w:rsid w:val="009E01B4"/>
    <w:rsid w:val="009F57B2"/>
    <w:rsid w:val="00AE0283"/>
    <w:rsid w:val="00AE10B2"/>
    <w:rsid w:val="00B94881"/>
    <w:rsid w:val="00CD7C53"/>
    <w:rsid w:val="00DF131C"/>
    <w:rsid w:val="00E92635"/>
    <w:rsid w:val="00F178D9"/>
    <w:rsid w:val="012F41F1"/>
    <w:rsid w:val="02CC4E09"/>
    <w:rsid w:val="066A1F7B"/>
    <w:rsid w:val="07006692"/>
    <w:rsid w:val="07B40FAC"/>
    <w:rsid w:val="07E21FBD"/>
    <w:rsid w:val="08601134"/>
    <w:rsid w:val="09F61D50"/>
    <w:rsid w:val="0A6F66C7"/>
    <w:rsid w:val="0BB3784F"/>
    <w:rsid w:val="0DF601D2"/>
    <w:rsid w:val="0EBB4A7A"/>
    <w:rsid w:val="11C96074"/>
    <w:rsid w:val="12284681"/>
    <w:rsid w:val="13086650"/>
    <w:rsid w:val="14EF1875"/>
    <w:rsid w:val="155456C3"/>
    <w:rsid w:val="16382711"/>
    <w:rsid w:val="17220A1D"/>
    <w:rsid w:val="17D65F9B"/>
    <w:rsid w:val="195A686C"/>
    <w:rsid w:val="19F210E1"/>
    <w:rsid w:val="1ABA0B77"/>
    <w:rsid w:val="1CCB0E1A"/>
    <w:rsid w:val="1D100F23"/>
    <w:rsid w:val="1D9E003E"/>
    <w:rsid w:val="1EA20892"/>
    <w:rsid w:val="1F686E90"/>
    <w:rsid w:val="1FFE1506"/>
    <w:rsid w:val="206C4CED"/>
    <w:rsid w:val="21780E44"/>
    <w:rsid w:val="21BF56C9"/>
    <w:rsid w:val="228E6BE7"/>
    <w:rsid w:val="23562B15"/>
    <w:rsid w:val="23A16EA8"/>
    <w:rsid w:val="23FC77C6"/>
    <w:rsid w:val="253634F0"/>
    <w:rsid w:val="273B42B0"/>
    <w:rsid w:val="27700695"/>
    <w:rsid w:val="279D7857"/>
    <w:rsid w:val="27A91D58"/>
    <w:rsid w:val="2A9B41C1"/>
    <w:rsid w:val="2B056050"/>
    <w:rsid w:val="2C7548FE"/>
    <w:rsid w:val="2D0A798E"/>
    <w:rsid w:val="2E6B4A1E"/>
    <w:rsid w:val="2E8E4CE9"/>
    <w:rsid w:val="2EBA18F5"/>
    <w:rsid w:val="2ECD070F"/>
    <w:rsid w:val="305A729F"/>
    <w:rsid w:val="31B067A0"/>
    <w:rsid w:val="35654229"/>
    <w:rsid w:val="36455341"/>
    <w:rsid w:val="37F13572"/>
    <w:rsid w:val="37F84A2F"/>
    <w:rsid w:val="389E7F97"/>
    <w:rsid w:val="3A523C7A"/>
    <w:rsid w:val="3B286C5A"/>
    <w:rsid w:val="3B312338"/>
    <w:rsid w:val="3B9A7EDD"/>
    <w:rsid w:val="3D5A0CAB"/>
    <w:rsid w:val="3DD07BE6"/>
    <w:rsid w:val="3E0C5804"/>
    <w:rsid w:val="3E6B790F"/>
    <w:rsid w:val="3F147FA7"/>
    <w:rsid w:val="3FB6105E"/>
    <w:rsid w:val="402A3BE5"/>
    <w:rsid w:val="403873FD"/>
    <w:rsid w:val="424A065C"/>
    <w:rsid w:val="47D76D81"/>
    <w:rsid w:val="499275C2"/>
    <w:rsid w:val="4C285091"/>
    <w:rsid w:val="4C781A7F"/>
    <w:rsid w:val="4CFA4C80"/>
    <w:rsid w:val="4E86609F"/>
    <w:rsid w:val="4F334479"/>
    <w:rsid w:val="5064500B"/>
    <w:rsid w:val="50AF7B2F"/>
    <w:rsid w:val="51114346"/>
    <w:rsid w:val="511A2950"/>
    <w:rsid w:val="513B66BF"/>
    <w:rsid w:val="54744E91"/>
    <w:rsid w:val="56004989"/>
    <w:rsid w:val="57330AB1"/>
    <w:rsid w:val="598451E3"/>
    <w:rsid w:val="598F3C95"/>
    <w:rsid w:val="59AC7302"/>
    <w:rsid w:val="5AFC6067"/>
    <w:rsid w:val="5B480E39"/>
    <w:rsid w:val="5B495558"/>
    <w:rsid w:val="5B742FD2"/>
    <w:rsid w:val="5B954FE6"/>
    <w:rsid w:val="5F537F3B"/>
    <w:rsid w:val="5F592854"/>
    <w:rsid w:val="5FFFE836"/>
    <w:rsid w:val="613F6111"/>
    <w:rsid w:val="61BA337D"/>
    <w:rsid w:val="61EC457F"/>
    <w:rsid w:val="61F14F4A"/>
    <w:rsid w:val="627664F9"/>
    <w:rsid w:val="62C36135"/>
    <w:rsid w:val="63AA5CA0"/>
    <w:rsid w:val="63E61662"/>
    <w:rsid w:val="643B6D56"/>
    <w:rsid w:val="64740A1C"/>
    <w:rsid w:val="65613696"/>
    <w:rsid w:val="6632293D"/>
    <w:rsid w:val="66DD0E30"/>
    <w:rsid w:val="68B53225"/>
    <w:rsid w:val="6A0B28F3"/>
    <w:rsid w:val="6A2924BC"/>
    <w:rsid w:val="6A6B2199"/>
    <w:rsid w:val="6B545425"/>
    <w:rsid w:val="6C0C46F3"/>
    <w:rsid w:val="6D6912A2"/>
    <w:rsid w:val="6E2C1505"/>
    <w:rsid w:val="6EFE2C92"/>
    <w:rsid w:val="6F3B22BB"/>
    <w:rsid w:val="6F8821E3"/>
    <w:rsid w:val="6FDF12E8"/>
    <w:rsid w:val="70D70CB1"/>
    <w:rsid w:val="72EC6569"/>
    <w:rsid w:val="731A2218"/>
    <w:rsid w:val="73332CDF"/>
    <w:rsid w:val="767B20DE"/>
    <w:rsid w:val="776564EF"/>
    <w:rsid w:val="78C338C8"/>
    <w:rsid w:val="79215F0B"/>
    <w:rsid w:val="79A25BD4"/>
    <w:rsid w:val="7DD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Text"/>
    <w:basedOn w:val="1"/>
    <w:autoRedefine/>
    <w:qFormat/>
    <w:uiPriority w:val="0"/>
    <w:pPr>
      <w:spacing w:line="560" w:lineRule="exact"/>
      <w:jc w:val="center"/>
    </w:pPr>
    <w:rPr>
      <w:b/>
      <w:bCs/>
      <w:sz w:val="44"/>
    </w:rPr>
  </w:style>
  <w:style w:type="paragraph" w:customStyle="1" w:styleId="9">
    <w:name w:val="工可正文"/>
    <w:basedOn w:val="1"/>
    <w:autoRedefine/>
    <w:qFormat/>
    <w:uiPriority w:val="0"/>
    <w:pPr>
      <w:tabs>
        <w:tab w:val="left" w:pos="6660"/>
      </w:tabs>
      <w:spacing w:line="480" w:lineRule="exact"/>
      <w:ind w:left="200" w:firstLine="480" w:firstLineChars="200"/>
    </w:pPr>
    <w:rPr>
      <w:rFonts w:ascii="宋体" w:hAnsi="宋体" w:eastAsia="仿宋_GB2312"/>
      <w:sz w:val="24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751</Words>
  <Characters>862</Characters>
  <Lines>11</Lines>
  <Paragraphs>3</Paragraphs>
  <TotalTime>21</TotalTime>
  <ScaleCrop>false</ScaleCrop>
  <LinksUpToDate>false</LinksUpToDate>
  <CharactersWithSpaces>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2024-01-15T10:57:00Z</dcterms:created>
  <dc:creator>^_^涵婵楸月</dc:creator>
  <cp:lastModifiedBy>^_^涵婵楸月</cp:lastModifiedBy>
  <cp:lastPrinted>2024-10-24T02:11:20Z</cp:lastPrinted>
  <dcterms:modified xsi:type="dcterms:W3CDTF">2024-10-24T02:11:48Z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A2293D1A638E4D8EA2F013E48EF0BA73_13</vt:lpwstr>
  </property>
</Properties>
</file>