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开州发改审〔202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0" w:firstLine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重庆市开州区发展和改革委员会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440" w:hanging="440" w:hangingChars="100"/>
        <w:jc w:val="center"/>
        <w:textAlignment w:val="auto"/>
        <w:rPr>
          <w:rFonts w:hint="eastAsia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sz w:val="44"/>
          <w:szCs w:val="44"/>
          <w:highlight w:val="none"/>
          <w:lang w:eastAsia="zh-CN"/>
        </w:rPr>
        <w:t>西渝高铁开州站交通枢纽配套工程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eastAsia="方正小标宋_GBK" w:cs="Times New Roman"/>
          <w:sz w:val="44"/>
          <w:szCs w:val="44"/>
          <w:highlight w:val="none"/>
          <w:lang w:eastAsia="zh-CN"/>
        </w:rPr>
        <w:t>—换乘中心（一期）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总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重庆市开州区兴农实业有限公司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《关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西渝高铁开州站交通枢纽配套工程—换乘中心（一期）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概算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兴农司文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）及相关材料收悉。根据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重庆市开州区住房城乡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建设委员会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《关于西渝高铁开州站交通枢纽配套工程—换乘中心（一期）初步设计的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批复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》（开州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建初设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号），结合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重庆市嘉乐加福工程咨询有限公司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出具的《西渝高铁开州站交通枢纽配套工程—换乘中心（一期）概算审核报告》（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嘉乐加福咨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号），经研究，现将该项目总投资概算有关内容批复如下：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一、项目法人。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重庆市开州区兴农实业有限公司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zh-CN" w:eastAsia="zh-CN"/>
        </w:rPr>
        <w:t>、项目代码。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2408-50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0154-04-01-117210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三、建设内容及规模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项目建设内容为安全通道建设及排洪通道建设两部分。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安全通道部分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共包含2条道路，分别为江里大道临时路面、路基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建设，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荷花街北段临时路面、路基部分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。其中：江里大道总长1213.982m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双向六车道，设计速度60km/h。荷花街北段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总长584.109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m，双向四车道，设计速度40km/h。排洪通道部分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改建防洪通道长度约1345m。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  <w:lang w:val="en-US" w:eastAsia="zh-CN"/>
        </w:rPr>
        <w:t>四、核定投资规模及资金来源。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核定项目总投资概算控制在15005.99万元以内（分项构成详见附表），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建筑部分</w:t>
      </w:r>
      <w:r>
        <w:rPr>
          <w:rFonts w:hint="eastAsia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12279.51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万元、施工临时工程</w:t>
      </w:r>
      <w:r>
        <w:rPr>
          <w:rFonts w:hint="eastAsia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495.18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万元、独立费用</w:t>
      </w:r>
      <w:r>
        <w:rPr>
          <w:rFonts w:hint="eastAsia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1516.73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万元，基本预备费</w:t>
      </w:r>
      <w:r>
        <w:rPr>
          <w:rFonts w:hint="eastAsia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714.57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万元）。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项目</w:t>
      </w:r>
      <w:r>
        <w:rPr>
          <w:rFonts w:eastAsia="方正仿宋_GBK" w:cs="Times New Roman"/>
          <w:sz w:val="32"/>
          <w:szCs w:val="32"/>
        </w:rPr>
        <w:t>资金来源：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由项目法人多渠道</w:t>
      </w:r>
      <w:r>
        <w:rPr>
          <w:rFonts w:hint="eastAsia" w:eastAsia="方正仿宋_GBK" w:cs="Times New Roman"/>
          <w:sz w:val="32"/>
          <w:szCs w:val="32"/>
        </w:rPr>
        <w:t>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五、加强项目管理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严格执行项目法人责任制、招投标制、合同管理制、工程监理制；严格做好投资控制，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项目总投资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不得超过经核定的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投资概算，不得擅自增加建设内容、扩大建设规模、提高建设标准或改变设计方案。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六、加强资金管理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该项目应在资金落实到位后实施，并实行专款专用、专账核算，不得挤占、挪用其他项目资金。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西渝高铁开州站交通枢纽配套工程—换乘中心（一期）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总投资概算核定表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西渝高铁开州站交通枢纽配套工程—换乘中心（一期）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总概算审核报告》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嘉乐加福咨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重庆市开州区发展和改革委员会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31" w:rightChars="15"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西渝高铁开州站交通枢纽配套工程—换乘中心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0" w:firstLineChars="250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</w:rPr>
        <w:t>单位：万元</w:t>
      </w:r>
    </w:p>
    <w:tbl>
      <w:tblPr>
        <w:tblStyle w:val="6"/>
        <w:tblW w:w="9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784"/>
        <w:gridCol w:w="1633"/>
        <w:gridCol w:w="3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工程或费用名称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核定金额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计费依据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建筑部分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12279.51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安全通道部分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3601.23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排洪通道部分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8678.28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二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施工临时工程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495.18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独立费用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1516.73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建设管理费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167.75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工程建设监理费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267.10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生产准备费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108.58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水利工程设计概（估）算编制规定（2021年版）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科研勘察设计费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410.39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勘察费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114.05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4.1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.1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工程勘察成果审查费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6.02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渝设协字〔2019〕5号文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.1.2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工程勘察外业见证费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7.75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按合同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暂列，据实结算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工程勘察费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100.28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按合同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暂列，据实结算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4.2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工程设计费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296.34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按合同暂列，据实结算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562.91 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5.1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工程质量检测费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95.81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5.2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工程咨询费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403.23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5.2.1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工程前期咨询费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235.99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按合同暂列，据实结算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5.2.2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工程招标限价编制费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33.80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5.2.3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施工图审查、技术咨询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46.52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按合同暂列，据实结算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5.2.4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工程量清单施工阶段工程造价全过程控制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86.92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5.3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工程保险费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63.87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《重庆市水利工程设计概（估）算编制规定》（2021年版）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四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</w:rPr>
              <w:t>基本预备费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714.57 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五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项目总投资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15005.99 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spacing w:line="600" w:lineRule="exact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Bdr>
          <w:top w:val="single" w:color="auto" w:sz="6" w:space="1"/>
          <w:bottom w:val="single" w:color="auto" w:sz="6" w:space="7"/>
        </w:pBdr>
        <w:spacing w:line="460" w:lineRule="exact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重庆市开州区发展和改革委员会办公室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z w:val="28"/>
          <w:szCs w:val="28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-106045</wp:posOffset>
              </wp:positionV>
              <wp:extent cx="963295" cy="255905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2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8.35pt;height:20.15pt;width:75.85pt;mso-position-horizontal:outside;mso-position-horizontal-relative:margin;z-index:251659264;mso-width-relative:page;mso-height-relative:page;" filled="f" stroked="f" coordsize="21600,21600" o:gfxdata="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+W8svZAAAABwEAAA8AAAAAAAAAAQAgAAAA&#10;IgAAAGRycy9kb3ducmV2LnhtbFBLAQIUABQAAAAIAIdO4kCYXlHk0QEAAJ0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ZTNmOGNkNmYyODg1ZDA1MjZiMjRhZDIwNjEzMjMifQ=="/>
  </w:docVars>
  <w:rsids>
    <w:rsidRoot w:val="75765396"/>
    <w:rsid w:val="028A668C"/>
    <w:rsid w:val="05F35FD7"/>
    <w:rsid w:val="06CC7E7F"/>
    <w:rsid w:val="077137A0"/>
    <w:rsid w:val="0B5F235F"/>
    <w:rsid w:val="0B641B4C"/>
    <w:rsid w:val="0F38681F"/>
    <w:rsid w:val="14DE54A9"/>
    <w:rsid w:val="17310C15"/>
    <w:rsid w:val="1F232C1B"/>
    <w:rsid w:val="213B57BD"/>
    <w:rsid w:val="260534A9"/>
    <w:rsid w:val="293B06CF"/>
    <w:rsid w:val="2A5F12D0"/>
    <w:rsid w:val="2B991697"/>
    <w:rsid w:val="2D2957A6"/>
    <w:rsid w:val="2D731129"/>
    <w:rsid w:val="3A6F38E4"/>
    <w:rsid w:val="3C3F46D4"/>
    <w:rsid w:val="4B964789"/>
    <w:rsid w:val="4D131782"/>
    <w:rsid w:val="4D4029E2"/>
    <w:rsid w:val="553620FB"/>
    <w:rsid w:val="5BC93FB7"/>
    <w:rsid w:val="5E730E6B"/>
    <w:rsid w:val="617F6A96"/>
    <w:rsid w:val="62234795"/>
    <w:rsid w:val="71E43794"/>
    <w:rsid w:val="75765396"/>
    <w:rsid w:val="782B64E1"/>
    <w:rsid w:val="7D4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  <w:pPr>
      <w:spacing w:after="120"/>
    </w:pPr>
  </w:style>
  <w:style w:type="paragraph" w:styleId="3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customStyle="1" w:styleId="9">
    <w:name w:val="工可正文"/>
    <w:basedOn w:val="1"/>
    <w:qFormat/>
    <w:uiPriority w:val="0"/>
    <w:pPr>
      <w:tabs>
        <w:tab w:val="left" w:pos="6660"/>
      </w:tabs>
      <w:spacing w:line="480" w:lineRule="exact"/>
      <w:ind w:left="200" w:firstLine="480" w:firstLineChars="200"/>
    </w:pPr>
    <w:rPr>
      <w:rFonts w:ascii="宋体" w:hAnsi="宋体" w:eastAsia="仿宋_GB2312"/>
      <w:sz w:val="24"/>
      <w:szCs w:val="28"/>
      <w:lang w:val="zh-CN"/>
    </w:rPr>
  </w:style>
  <w:style w:type="character" w:customStyle="1" w:styleId="10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1970</Characters>
  <Lines>0</Lines>
  <Paragraphs>0</Paragraphs>
  <TotalTime>33</TotalTime>
  <ScaleCrop>false</ScaleCrop>
  <LinksUpToDate>false</LinksUpToDate>
  <CharactersWithSpaces>1984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2024-03-26T08:25:00Z</dcterms:created>
  <dc:creator>^_^涵婵楸月</dc:creator>
  <cp:lastModifiedBy>lemonlove</cp:lastModifiedBy>
  <cp:lastPrinted>2024-08-16T08:26:00Z</cp:lastPrinted>
  <dcterms:modified xsi:type="dcterms:W3CDTF">2024-08-29T07:19:31Z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76AD597716C344E7808E6A26BF6E3F37_13</vt:lpwstr>
  </property>
</Properties>
</file>