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>
      <w:pPr>
        <w:pStyle w:val="8"/>
        <w:spacing w:line="580" w:lineRule="exact"/>
        <w:rPr>
          <w:rFonts w:eastAsia="方正小标宋_GBK"/>
          <w:szCs w:val="44"/>
        </w:rPr>
      </w:pPr>
    </w:p>
    <w:p>
      <w:pPr>
        <w:pStyle w:val="8"/>
        <w:spacing w:line="580" w:lineRule="exact"/>
        <w:rPr>
          <w:rFonts w:eastAsia="方正小标宋_GBK"/>
          <w:szCs w:val="44"/>
        </w:rPr>
      </w:pPr>
    </w:p>
    <w:p>
      <w:pPr>
        <w:pStyle w:val="8"/>
        <w:spacing w:line="580" w:lineRule="exact"/>
        <w:rPr>
          <w:rFonts w:eastAsia="方正小标宋_GBK"/>
          <w:szCs w:val="44"/>
        </w:rPr>
      </w:pPr>
    </w:p>
    <w:p>
      <w:pPr>
        <w:pStyle w:val="8"/>
        <w:spacing w:line="580" w:lineRule="exact"/>
        <w:rPr>
          <w:rFonts w:eastAsia="方正小标宋_GBK"/>
          <w:szCs w:val="44"/>
        </w:rPr>
      </w:pPr>
    </w:p>
    <w:p>
      <w:pPr>
        <w:pStyle w:val="8"/>
        <w:spacing w:line="580" w:lineRule="exact"/>
        <w:rPr>
          <w:rFonts w:eastAsia="方正小标宋_GBK"/>
          <w:szCs w:val="44"/>
        </w:rPr>
      </w:pPr>
    </w:p>
    <w:p>
      <w:pPr>
        <w:pStyle w:val="8"/>
        <w:spacing w:line="580" w:lineRule="exact"/>
        <w:rPr>
          <w:rFonts w:eastAsia="方正小标宋_GBK"/>
          <w:szCs w:val="44"/>
        </w:rPr>
      </w:pPr>
    </w:p>
    <w:p>
      <w:pPr>
        <w:spacing w:line="440" w:lineRule="exact"/>
        <w:jc w:val="center"/>
        <w:rPr>
          <w:rFonts w:eastAsia="方正仿宋_GBK"/>
          <w:sz w:val="32"/>
          <w:szCs w:val="32"/>
        </w:rPr>
      </w:pPr>
      <w:bookmarkStart w:id="1" w:name="_GoBack"/>
      <w:bookmarkEnd w:id="1"/>
      <w:r>
        <w:rPr>
          <w:rFonts w:eastAsia="方正仿宋_GBK"/>
          <w:sz w:val="32"/>
          <w:szCs w:val="32"/>
        </w:rPr>
        <w:t>开州发改审〔202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122</w:t>
      </w:r>
      <w:r>
        <w:rPr>
          <w:rFonts w:eastAsia="方正仿宋_GBK"/>
          <w:sz w:val="32"/>
          <w:szCs w:val="32"/>
        </w:rPr>
        <w:t>号</w:t>
      </w:r>
    </w:p>
    <w:p>
      <w:pPr>
        <w:pStyle w:val="9"/>
        <w:spacing w:line="560" w:lineRule="exact"/>
        <w:ind w:left="0" w:firstLine="0" w:firstLineChars="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重庆市开州区发展和改革委员会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Ansi="方正小标宋_GBK"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关于</w:t>
      </w:r>
      <w:r>
        <w:rPr>
          <w:rFonts w:hint="eastAsia" w:hAnsi="方正小标宋_GBK" w:eastAsia="方正小标宋_GBK"/>
          <w:sz w:val="44"/>
          <w:szCs w:val="44"/>
        </w:rPr>
        <w:t>2023年公路修复养护工程</w:t>
      </w:r>
      <w:r>
        <w:rPr>
          <w:rFonts w:hAnsi="方正小标宋_GBK" w:eastAsia="方正小标宋_GBK"/>
          <w:sz w:val="44"/>
          <w:szCs w:val="44"/>
        </w:rPr>
        <w:t>总投资概算的批复</w:t>
      </w:r>
    </w:p>
    <w:p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>
      <w:pPr>
        <w:spacing w:line="44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重庆宏畅交通发展集团有限公司：</w:t>
      </w:r>
    </w:p>
    <w:p>
      <w:pPr>
        <w:spacing w:line="440" w:lineRule="exact"/>
        <w:ind w:firstLine="640" w:firstLineChars="200"/>
        <w:rPr>
          <w:rFonts w:hint="eastAsia"/>
          <w:color w:val="auto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《关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eastAsia="方正仿宋_GBK" w:cs="Times New Roman"/>
          <w:sz w:val="32"/>
          <w:szCs w:val="32"/>
          <w:lang w:eastAsia="zh-CN"/>
        </w:rPr>
        <w:t>审批2023年公路修复养护工程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概算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总投资的函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渝宏交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）及相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关材料收悉。根据重庆市开州区</w:t>
      </w:r>
      <w:r>
        <w:rPr>
          <w:rFonts w:hint="eastAsia" w:eastAsia="方正仿宋_GBK" w:cs="Times New Roman"/>
          <w:sz w:val="32"/>
          <w:szCs w:val="32"/>
          <w:lang w:eastAsia="zh-CN"/>
        </w:rPr>
        <w:t>交通局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eastAsia="方正仿宋_GBK" w:cs="Times New Roman"/>
          <w:sz w:val="32"/>
          <w:szCs w:val="32"/>
          <w:lang w:eastAsia="zh-CN"/>
        </w:rPr>
        <w:t>关于2023年公路修复养护工程一阶段施工图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设计的批复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》（开州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交设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174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号），结合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重庆市规律工程勘察设计有限责任公司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出具的《</w:t>
      </w:r>
      <w:bookmarkStart w:id="0" w:name="4  其他有关说明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2023年公路修复养护工程概算审核报告》（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重庆规律咨字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第003号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经研究，现将该项目总投资概算有关内容批复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下：</w:t>
      </w:r>
    </w:p>
    <w:p>
      <w:pPr>
        <w:snapToGrid w:val="0"/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一、项目法人</w:t>
      </w:r>
      <w:r>
        <w:rPr>
          <w:rFonts w:hint="eastAsia" w:eastAsia="方正黑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重庆宏畅交通发展集团有限公司</w:t>
      </w:r>
      <w:r>
        <w:rPr>
          <w:rFonts w:eastAsia="方正仿宋_GBK"/>
          <w:sz w:val="32"/>
          <w:szCs w:val="32"/>
        </w:rPr>
        <w:t>。</w:t>
      </w:r>
    </w:p>
    <w:p>
      <w:pPr>
        <w:snapToGrid w:val="0"/>
        <w:spacing w:line="44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  <w:lang w:val="zh-CN"/>
        </w:rPr>
        <w:t>、项目代码</w:t>
      </w:r>
      <w:r>
        <w:rPr>
          <w:rFonts w:hint="eastAsia" w:eastAsia="方正仿宋_GBK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2307-500154-04-01-394987。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eastAsia="方正黑体_GBK"/>
          <w:sz w:val="32"/>
          <w:szCs w:val="32"/>
        </w:rPr>
        <w:t>三、建设内容及规模</w:t>
      </w:r>
      <w:r>
        <w:rPr>
          <w:rFonts w:hint="eastAsia" w:eastAsia="方正黑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该</w:t>
      </w:r>
      <w:r>
        <w:rPr>
          <w:rFonts w:hint="eastAsia" w:eastAsia="方正仿宋_GBK"/>
          <w:color w:val="auto"/>
          <w:sz w:val="32"/>
          <w:szCs w:val="32"/>
        </w:rPr>
        <w:t>项目共涉及四段线路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路面改造</w:t>
      </w:r>
      <w:r>
        <w:rPr>
          <w:rFonts w:hint="eastAsia" w:eastAsia="方正仿宋_GBK"/>
          <w:color w:val="auto"/>
          <w:sz w:val="32"/>
          <w:szCs w:val="32"/>
        </w:rPr>
        <w:t>，总里程长10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auto"/>
          <w:sz w:val="32"/>
          <w:szCs w:val="32"/>
        </w:rPr>
        <w:t>322公里。其中G211线刘伯承纪念馆至石龙船大桥(K1379+262-K1382+718)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沥青砼路面，长3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auto"/>
          <w:sz w:val="32"/>
          <w:szCs w:val="32"/>
        </w:rPr>
        <w:t>456公里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/>
          <w:color w:val="auto"/>
          <w:sz w:val="32"/>
          <w:szCs w:val="32"/>
        </w:rPr>
        <w:t>G211线赵家马鞍垭口至快速通道段(K1416+030-K1421+100)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沥青砼路面，长5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auto"/>
          <w:sz w:val="32"/>
          <w:szCs w:val="32"/>
        </w:rPr>
        <w:t>07公里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/>
          <w:color w:val="auto"/>
          <w:sz w:val="32"/>
          <w:szCs w:val="32"/>
        </w:rPr>
        <w:t>G211线兼善场镇入口至大垭口森林公园岔路口段(K1443+364-K1444+160)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水泥砼路面，长0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方正仿宋_GBK"/>
          <w:color w:val="auto"/>
          <w:sz w:val="32"/>
          <w:szCs w:val="32"/>
        </w:rPr>
        <w:t>796公里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/>
          <w:color w:val="auto"/>
          <w:sz w:val="32"/>
          <w:szCs w:val="32"/>
        </w:rPr>
        <w:t>G243线岳溪桥至岳溪场镇入口段(K20+000-K21+000)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sz w:val="32"/>
          <w:szCs w:val="32"/>
        </w:rPr>
        <w:t>沥青砼路面，长1公里。</w:t>
      </w:r>
    </w:p>
    <w:p>
      <w:pPr>
        <w:spacing w:line="440" w:lineRule="exact"/>
        <w:ind w:firstLine="640" w:firstLineChars="200"/>
        <w:rPr>
          <w:rFonts w:hint="eastAsia" w:eastAsia="方正仿宋_GBK" w:cs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四、核定投资规模及资金来源</w:t>
      </w:r>
      <w:r>
        <w:rPr>
          <w:rFonts w:hint="eastAsia" w:eastAsia="方正黑体_GBK"/>
          <w:color w:val="auto"/>
          <w:sz w:val="32"/>
          <w:szCs w:val="32"/>
          <w:lang w:eastAsia="zh-CN"/>
        </w:rPr>
        <w:t>。</w:t>
      </w:r>
      <w:r>
        <w:rPr>
          <w:rFonts w:eastAsia="方正仿宋_GBK"/>
          <w:color w:val="auto"/>
          <w:sz w:val="32"/>
          <w:szCs w:val="32"/>
        </w:rPr>
        <w:t>核定项目总投资概算控制在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1642.14</w:t>
      </w:r>
      <w:r>
        <w:rPr>
          <w:rFonts w:eastAsia="方正仿宋_GBK"/>
          <w:color w:val="auto"/>
          <w:sz w:val="32"/>
          <w:szCs w:val="32"/>
        </w:rPr>
        <w:t>万元以内（分项构成详见附表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eastAsia="方正仿宋_GBK"/>
          <w:color w:val="auto"/>
          <w:sz w:val="32"/>
          <w:szCs w:val="32"/>
        </w:rPr>
        <w:t>，其中：建筑安装工程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1510.50</w:t>
      </w:r>
      <w:r>
        <w:rPr>
          <w:rFonts w:eastAsia="方正仿宋_GBK"/>
          <w:color w:val="auto"/>
          <w:sz w:val="32"/>
          <w:szCs w:val="32"/>
        </w:rPr>
        <w:t>万元，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土地使用及拆迁补偿费0.38万元，</w:t>
      </w:r>
      <w:r>
        <w:rPr>
          <w:rFonts w:eastAsia="方正仿宋_GBK"/>
          <w:color w:val="auto"/>
          <w:sz w:val="32"/>
          <w:szCs w:val="32"/>
        </w:rPr>
        <w:t>工程建设其他费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83.43</w:t>
      </w:r>
      <w:r>
        <w:rPr>
          <w:rFonts w:eastAsia="方正仿宋_GBK"/>
          <w:color w:val="auto"/>
          <w:sz w:val="32"/>
          <w:szCs w:val="32"/>
        </w:rPr>
        <w:t>万元，预备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47.83</w:t>
      </w:r>
      <w:r>
        <w:rPr>
          <w:rFonts w:eastAsia="方正仿宋_GBK"/>
          <w:color w:val="auto"/>
          <w:sz w:val="32"/>
          <w:szCs w:val="32"/>
        </w:rPr>
        <w:t>万元。资金来源：</w:t>
      </w:r>
      <w:r>
        <w:rPr>
          <w:rFonts w:hint="eastAsia" w:eastAsia="方正仿宋_GBK"/>
          <w:color w:val="auto"/>
          <w:sz w:val="32"/>
          <w:szCs w:val="32"/>
        </w:rPr>
        <w:t>争取上级补助资金及业主自筹。</w:t>
      </w:r>
    </w:p>
    <w:p>
      <w:pPr>
        <w:snapToGrid w:val="0"/>
        <w:spacing w:line="440" w:lineRule="exact"/>
        <w:ind w:firstLine="640"/>
        <w:rPr>
          <w:rFonts w:eastAsia="方正仿宋_GBK"/>
          <w:color w:val="auto"/>
          <w:sz w:val="32"/>
          <w:szCs w:val="32"/>
        </w:rPr>
      </w:pPr>
      <w:r>
        <w:rPr>
          <w:rFonts w:eastAsia="方正黑体_GBK"/>
          <w:color w:val="auto"/>
          <w:sz w:val="32"/>
          <w:szCs w:val="32"/>
        </w:rPr>
        <w:t>五、加强项目管理</w:t>
      </w:r>
      <w:r>
        <w:rPr>
          <w:rFonts w:hint="eastAsia" w:eastAsia="方正黑体_GBK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auto"/>
          <w:sz w:val="32"/>
          <w:szCs w:val="32"/>
        </w:rPr>
        <w:t>严格执行项目法人责任制、招投标制、合同管理制、工程监理制；严格做好投资控制，项目建设投资不得超过经核定的投资概算，不得擅自增加建设内容、扩大建设规模、提高建设标准或改变设计方案。</w:t>
      </w:r>
    </w:p>
    <w:p>
      <w:pPr>
        <w:spacing w:line="440" w:lineRule="exact"/>
        <w:ind w:firstLine="640" w:firstLineChars="200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eastAsia="方正黑体_GBK"/>
          <w:color w:val="auto"/>
          <w:sz w:val="32"/>
          <w:szCs w:val="32"/>
        </w:rPr>
        <w:t>六、加强资金管理</w:t>
      </w:r>
      <w:r>
        <w:rPr>
          <w:rFonts w:hint="eastAsia" w:eastAsia="方正黑体_GBK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该项目应在资金落实到位后实施，并实行专款专用、专账核算，不得挤占、挪用其他项目资金。</w:t>
      </w:r>
    </w:p>
    <w:p>
      <w:pPr>
        <w:pStyle w:val="2"/>
        <w:rPr>
          <w:rFonts w:hint="eastAsia"/>
          <w:color w:val="auto"/>
        </w:rPr>
      </w:pPr>
    </w:p>
    <w:p>
      <w:pPr>
        <w:pStyle w:val="9"/>
        <w:spacing w:line="440" w:lineRule="exact"/>
        <w:ind w:left="1918" w:leftChars="304" w:hanging="1280" w:hangingChars="4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修复养护工程总投资概算核定表</w:t>
      </w:r>
    </w:p>
    <w:p>
      <w:pPr>
        <w:pStyle w:val="9"/>
        <w:spacing w:line="440" w:lineRule="exact"/>
        <w:ind w:left="1916" w:leftChars="760" w:hanging="320" w:hangingChars="100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 w:eastAsia="方正仿宋_GBK"/>
          <w:color w:val="auto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修复养护工程概算造价评审报告》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重庆规律咨字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第003号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adjustRightInd w:val="0"/>
        <w:snapToGrid w:val="0"/>
        <w:spacing w:line="440" w:lineRule="exact"/>
        <w:ind w:firstLine="4160" w:firstLineChars="1300"/>
        <w:rPr>
          <w:rFonts w:eastAsia="方正仿宋_GBK"/>
          <w:color w:val="auto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160" w:firstLineChars="1300"/>
        <w:rPr>
          <w:rFonts w:eastAsia="方正仿宋_GBK"/>
          <w:color w:val="auto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4160" w:firstLineChars="1300"/>
        <w:rPr>
          <w:color w:val="auto"/>
        </w:rPr>
      </w:pPr>
      <w:r>
        <w:rPr>
          <w:rFonts w:eastAsia="方正仿宋_GBK"/>
          <w:color w:val="auto"/>
          <w:sz w:val="32"/>
          <w:szCs w:val="32"/>
        </w:rPr>
        <w:t>重庆市开州区发展和改革委员会</w:t>
      </w:r>
    </w:p>
    <w:p>
      <w:pPr>
        <w:adjustRightInd w:val="0"/>
        <w:snapToGrid w:val="0"/>
        <w:spacing w:line="440" w:lineRule="exact"/>
        <w:ind w:right="31" w:rightChars="15" w:firstLine="5440" w:firstLineChars="17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eastAsia="方正仿宋_GBK"/>
          <w:color w:val="auto"/>
          <w:sz w:val="32"/>
          <w:szCs w:val="32"/>
        </w:rPr>
        <w:t>日</w:t>
      </w:r>
    </w:p>
    <w:p>
      <w:pPr>
        <w:pStyle w:val="2"/>
        <w:rPr>
          <w:rFonts w:hint="eastAsia"/>
          <w:color w:val="0000FF"/>
        </w:rPr>
      </w:pPr>
      <w:r>
        <w:rPr>
          <w:rFonts w:hint="eastAsia"/>
          <w:color w:val="auto"/>
        </w:rPr>
        <w:br w:type="page"/>
      </w:r>
    </w:p>
    <w:p>
      <w:pPr>
        <w:pStyle w:val="2"/>
        <w:ind w:left="0" w:leftChars="0"/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bCs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2023年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  <w:t>公路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修复养护工程总投资概算核定表</w:t>
      </w:r>
    </w:p>
    <w:p>
      <w:pPr>
        <w:spacing w:line="560" w:lineRule="exact"/>
        <w:ind w:right="31" w:rightChars="15" w:firstLine="7000" w:firstLineChars="2500"/>
        <w:rPr>
          <w:rFonts w:hint="eastAsia" w:ascii="方正小标宋_GBK" w:hAnsi="Times New Roman" w:eastAsia="方正小标宋_GBK" w:cs="Times New Roman"/>
          <w:bCs/>
          <w:sz w:val="36"/>
          <w:szCs w:val="36"/>
        </w:rPr>
      </w:pPr>
      <w:r>
        <w:rPr>
          <w:rFonts w:eastAsia="方正仿宋_GBK"/>
          <w:kern w:val="0"/>
          <w:sz w:val="28"/>
          <w:szCs w:val="28"/>
        </w:rPr>
        <w:t>单位：万</w:t>
      </w:r>
      <w:r>
        <w:rPr>
          <w:rFonts w:hint="eastAsia" w:eastAsia="方正仿宋_GBK"/>
          <w:kern w:val="0"/>
          <w:sz w:val="28"/>
          <w:szCs w:val="28"/>
        </w:rPr>
        <w:t>元</w:t>
      </w:r>
    </w:p>
    <w:tbl>
      <w:tblPr>
        <w:tblStyle w:val="6"/>
        <w:tblpPr w:leftFromText="180" w:rightFromText="180" w:vertAnchor="text" w:horzAnchor="page" w:tblpXSpec="center" w:tblpY="143"/>
        <w:tblOverlap w:val="never"/>
        <w:tblW w:w="521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30"/>
        <w:gridCol w:w="1180"/>
        <w:gridCol w:w="4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费用名称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核定金额</w:t>
            </w:r>
          </w:p>
        </w:tc>
        <w:tc>
          <w:tcPr>
            <w:tcW w:w="2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</w:rPr>
              <w:t>计费依据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建筑安装工程费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both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1510.50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重庆市公路养护工程预算编制办法》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土地使用及拆迁补偿费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0.38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公路工程建设项目概算预算编制办法》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  <w:t>（JTG3830-2018）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 w:val="0"/>
                <w:color w:val="auto"/>
                <w:sz w:val="22"/>
                <w:szCs w:val="22"/>
                <w:lang w:val="en-US" w:eastAsia="zh-CN"/>
              </w:rPr>
              <w:t>工程建设其他费用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83.43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公路工程建设项目概算预算编制办法》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  <w:t>（JTG3830-2018）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建设项目管理费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41.76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Cs/>
                <w:color w:val="auto"/>
                <w:spacing w:val="-20"/>
                <w:sz w:val="20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公路工程建设项目概算预算编制办法》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  <w:t>（JTG3830-2018）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2.1.1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设计文件审查费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0.99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Cs/>
                <w:color w:val="auto"/>
                <w:spacing w:val="-20"/>
                <w:sz w:val="20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公路工程建设项目概算预算编制办法》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  <w:t>（JTG3830-2018）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2.1.</w:t>
            </w: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工程监理费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32.87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Cs/>
                <w:color w:val="auto"/>
                <w:spacing w:val="-20"/>
                <w:sz w:val="20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公路工程建设项目概算预算编制办法》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  <w:t>（JTG3830-2018）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2.1.</w:t>
            </w: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竣（交）工验收试验检</w:t>
            </w:r>
          </w:p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1"/>
                <w:szCs w:val="21"/>
                <w:lang w:val="en-US" w:eastAsia="zh-CN"/>
              </w:rPr>
              <w:t>测</w:t>
            </w: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费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7.91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Cs/>
                <w:color w:val="auto"/>
                <w:spacing w:val="-20"/>
                <w:sz w:val="20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重庆市公路养护工程预算编制办法》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建设项目前期工作费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35.63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公路工程建设项目概算预算编制办法》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0"/>
                <w:szCs w:val="24"/>
                <w:lang w:val="en-US" w:eastAsia="zh-CN"/>
              </w:rPr>
              <w:t>（JTG3830-2018）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工程保险费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6.04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重庆市公路养护工程预算编制办法》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预备费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47.83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1"/>
                <w:szCs w:val="28"/>
                <w:lang w:val="en-US" w:eastAsia="zh-CN"/>
              </w:rPr>
              <w:t>《</w:t>
            </w:r>
            <w:r>
              <w:rPr>
                <w:rFonts w:hint="eastAsia" w:ascii="方正仿宋_GBK" w:hAnsi="Times New Roman" w:eastAsia="方正仿宋_GBK" w:cs="Times New Roman"/>
                <w:b w:val="0"/>
                <w:bCs/>
                <w:color w:val="auto"/>
                <w:spacing w:val="-20"/>
                <w:sz w:val="22"/>
                <w:szCs w:val="32"/>
                <w:lang w:val="en-US" w:eastAsia="zh-CN"/>
              </w:rPr>
              <w:t>重庆市公路养护工程预算编制办法》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  <w:t>基本预备费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47.83</w:t>
            </w:r>
          </w:p>
        </w:tc>
        <w:tc>
          <w:tcPr>
            <w:tcW w:w="2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</w:rPr>
              <w:t>（一+二+三）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*3%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项目总投资</w:t>
            </w:r>
          </w:p>
        </w:tc>
        <w:tc>
          <w:tcPr>
            <w:tcW w:w="6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40" w:lineRule="exact"/>
              <w:jc w:val="center"/>
              <w:rPr>
                <w:rFonts w:hint="default" w:ascii="方正仿宋_GBK" w:hAnsi="Times New Roman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bCs/>
                <w:color w:val="auto"/>
                <w:sz w:val="24"/>
                <w:szCs w:val="24"/>
                <w:lang w:val="en-US" w:eastAsia="zh-CN"/>
              </w:rPr>
              <w:t>1642.14</w:t>
            </w:r>
          </w:p>
        </w:tc>
        <w:tc>
          <w:tcPr>
            <w:tcW w:w="2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</w:rPr>
              <w:t>（一+二+三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+四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2"/>
                <w:szCs w:val="22"/>
              </w:rPr>
              <w:t>）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Style w:val="9"/>
        <w:spacing w:line="500" w:lineRule="exact"/>
        <w:ind w:left="0" w:firstLine="0" w:firstLineChars="0"/>
        <w:rPr>
          <w:rFonts w:hint="eastAsia" w:eastAsia="仿宋_GB2312"/>
          <w:lang w:val="en-US" w:eastAsia="zh-CN"/>
        </w:rPr>
      </w:pPr>
    </w:p>
    <w:p>
      <w:pPr>
        <w:pStyle w:val="9"/>
        <w:spacing w:line="500" w:lineRule="exact"/>
        <w:ind w:left="0" w:firstLine="0" w:firstLineChars="0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7"/>
        </w:pBdr>
        <w:spacing w:line="460" w:lineRule="exact"/>
        <w:ind w:firstLine="280" w:firstLineChars="100"/>
      </w:pPr>
      <w:r>
        <w:rPr>
          <w:rFonts w:eastAsia="方正仿宋_GBK"/>
          <w:sz w:val="28"/>
          <w:szCs w:val="28"/>
        </w:rPr>
        <w:t xml:space="preserve">重庆市开州区发展和改革委员会办公室  </w:t>
      </w:r>
      <w:r>
        <w:rPr>
          <w:rFonts w:hint="eastAsia" w:eastAsia="方正仿宋_GBK"/>
          <w:sz w:val="28"/>
          <w:szCs w:val="28"/>
        </w:rPr>
        <w:t xml:space="preserve">    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9</w:t>
      </w:r>
      <w:r>
        <w:rPr>
          <w:rFonts w:hint="eastAsia" w:eastAsia="方正仿宋_GBK"/>
          <w:sz w:val="28"/>
          <w:szCs w:val="28"/>
        </w:rPr>
        <w:t>日印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-106045</wp:posOffset>
              </wp:positionV>
              <wp:extent cx="963295" cy="25590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295" cy="2559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8.35pt;height:20.15pt;width:75.85pt;mso-position-horizontal:outside;mso-position-horizontal-relative:margin;z-index:251659264;mso-width-relative:page;mso-height-relative:page;" filled="f" stroked="f" coordsize="21600,21600" o:gfxdata="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5byy9kAAAAHAQAADwAAAAAAAAABACAAAAAiAAAA&#10;ZHJzL2Rvd25yZXYueG1sUEsBAhQAFAAAAAgAh07iQBEnOtLNAQAAhAMAAA4AAAAAAAAAAQAgAAAA&#10;K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jgxNGIyY2YwMTAyZWVkNTQwYjZkNDUyODhhMDUifQ=="/>
  </w:docVars>
  <w:rsids>
    <w:rsidRoot w:val="00000000"/>
    <w:rsid w:val="206C4CED"/>
    <w:rsid w:val="2D0A798E"/>
    <w:rsid w:val="37F13572"/>
    <w:rsid w:val="3A523C7A"/>
    <w:rsid w:val="5064500B"/>
    <w:rsid w:val="598451E3"/>
    <w:rsid w:val="5FFFE836"/>
    <w:rsid w:val="62C36135"/>
    <w:rsid w:val="6F3B22BB"/>
    <w:rsid w:val="7333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Text"/>
    <w:basedOn w:val="1"/>
    <w:autoRedefine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customStyle="1" w:styleId="9">
    <w:name w:val="工可正文"/>
    <w:basedOn w:val="1"/>
    <w:autoRedefine/>
    <w:qFormat/>
    <w:uiPriority w:val="0"/>
    <w:pPr>
      <w:tabs>
        <w:tab w:val="left" w:pos="6660"/>
      </w:tabs>
      <w:spacing w:line="480" w:lineRule="exact"/>
      <w:ind w:left="200" w:firstLine="480" w:firstLineChars="200"/>
    </w:pPr>
    <w:rPr>
      <w:rFonts w:ascii="宋体" w:hAnsi="宋体" w:eastAsia="仿宋_GB2312"/>
      <w:sz w:val="24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1405</Characters>
  <Paragraphs>152</Paragraphs>
  <TotalTime>107</TotalTime>
  <ScaleCrop>false</ScaleCrop>
  <LinksUpToDate>false</LinksUpToDate>
  <CharactersWithSpaces>1436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2024-01-15T10:57:00Z</dcterms:created>
  <dc:creator>^_^涵婵楸月</dc:creator>
  <cp:lastModifiedBy>^_^涵婵楸月</cp:lastModifiedBy>
  <cp:lastPrinted>2024-02-21T04:33:02Z</cp:lastPrinted>
  <dcterms:modified xsi:type="dcterms:W3CDTF">2024-02-21T04:33:49Z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96987E8E300D42F6A590C0BFCA508CC8_13</vt:lpwstr>
  </property>
</Properties>
</file>