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4EEBC">
      <w:pPr>
        <w:pStyle w:val="6"/>
        <w:ind w:firstLine="643"/>
        <w:rPr>
          <w:rFonts w:hint="default" w:ascii="Times New Roman" w:hAnsi="Times New Roman" w:cs="Times New Roman"/>
        </w:rPr>
      </w:pPr>
    </w:p>
    <w:p w14:paraId="4B5DF583">
      <w:pPr>
        <w:pStyle w:val="6"/>
        <w:ind w:firstLine="883"/>
        <w:rPr>
          <w:rFonts w:hint="default" w:ascii="Times New Roman" w:hAnsi="Times New Roman" w:cs="Times New Roman"/>
          <w:sz w:val="44"/>
          <w:szCs w:val="44"/>
        </w:rPr>
      </w:pPr>
    </w:p>
    <w:p w14:paraId="4B513B01">
      <w:pPr>
        <w:jc w:val="center"/>
        <w:rPr>
          <w:rFonts w:hint="default" w:ascii="Times New Roman" w:hAnsi="Times New Roman" w:eastAsia="方正仿宋_GBK" w:cs="Times New Roman"/>
          <w:spacing w:val="-23"/>
          <w:w w:val="48"/>
          <w:sz w:val="120"/>
          <w:szCs w:val="120"/>
        </w:rPr>
      </w:pPr>
      <w:r>
        <w:rPr>
          <w:rFonts w:hint="default" w:ascii="Times New Roman" w:hAnsi="Times New Roman" w:eastAsia="方正小标宋_GBK" w:cs="Times New Roman"/>
          <w:color w:val="FF0000"/>
          <w:spacing w:val="-23"/>
          <w:w w:val="48"/>
          <w:sz w:val="118"/>
          <w:szCs w:val="118"/>
        </w:rPr>
        <w:t>重庆市开州区国有资产监督管理委员会</w:t>
      </w:r>
    </w:p>
    <w:p w14:paraId="267AE7FA">
      <w:pPr>
        <w:spacing w:line="480" w:lineRule="exact"/>
        <w:jc w:val="center"/>
        <w:rPr>
          <w:rFonts w:hint="default" w:ascii="Times New Roman" w:hAnsi="Times New Roman" w:eastAsia="方正仿宋_GBK" w:cs="Times New Roman"/>
          <w:sz w:val="32"/>
          <w:szCs w:val="32"/>
        </w:rPr>
      </w:pPr>
    </w:p>
    <w:p w14:paraId="11C4049A">
      <w:pPr>
        <w:spacing w:line="240" w:lineRule="exact"/>
        <w:rPr>
          <w:rFonts w:hint="default" w:ascii="Times New Roman" w:hAnsi="Times New Roman" w:eastAsia="方正仿宋_GBK" w:cs="Times New Roman"/>
          <w:sz w:val="32"/>
          <w:szCs w:val="32"/>
        </w:rPr>
      </w:pPr>
    </w:p>
    <w:p w14:paraId="302F40FB">
      <w:pPr>
        <w:ind w:firstLine="320" w:firstLineChars="1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开州国资文</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sz w:val="32"/>
          <w:szCs w:val="32"/>
          <w:highlight w:val="none"/>
        </w:rPr>
        <w:t xml:space="preserve">号   </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签发人：</w:t>
      </w:r>
      <w:r>
        <w:rPr>
          <w:rFonts w:hint="default" w:ascii="Times New Roman" w:hAnsi="Times New Roman" w:eastAsia="方正楷体_GBK" w:cs="Times New Roman"/>
          <w:sz w:val="32"/>
          <w:szCs w:val="32"/>
          <w:lang w:val="en-US" w:eastAsia="zh-CN"/>
        </w:rPr>
        <w:t>雷芳</w:t>
      </w:r>
    </w:p>
    <w:p w14:paraId="4B9A4EFE">
      <w:pPr>
        <w:ind w:firstLine="2000"/>
        <w:jc w:val="center"/>
        <w:rPr>
          <w:rFonts w:hint="default" w:ascii="Times New Roman" w:hAnsi="Times New Roman" w:eastAsia="方正小标宋简体" w:cs="Times New Roman"/>
          <w:sz w:val="42"/>
          <w:szCs w:val="44"/>
        </w:rPr>
      </w:pPr>
      <w:r>
        <w:rPr>
          <w:rFonts w:hint="default" w:ascii="Times New Roman" w:hAnsi="Times New Roman" w:eastAsia="方正小标宋简体" w:cs="Times New Roman"/>
          <w:color w:val="FF0000"/>
          <w:sz w:val="100"/>
          <w:szCs w:val="100"/>
        </w:rPr>
        <mc:AlternateContent>
          <mc:Choice Requires="wps">
            <w:drawing>
              <wp:anchor distT="0" distB="0" distL="114300" distR="114300" simplePos="0" relativeHeight="251659264" behindDoc="0" locked="0" layoutInCell="1" allowOverlap="1">
                <wp:simplePos x="0" y="0"/>
                <wp:positionH relativeFrom="column">
                  <wp:posOffset>-34290</wp:posOffset>
                </wp:positionH>
                <wp:positionV relativeFrom="paragraph">
                  <wp:posOffset>154940</wp:posOffset>
                </wp:positionV>
                <wp:extent cx="5809615" cy="635"/>
                <wp:effectExtent l="0" t="10795" r="635" b="17145"/>
                <wp:wrapNone/>
                <wp:docPr id="1" name="直接连接符 1"/>
                <wp:cNvGraphicFramePr/>
                <a:graphic xmlns:a="http://schemas.openxmlformats.org/drawingml/2006/main">
                  <a:graphicData uri="http://schemas.microsoft.com/office/word/2010/wordprocessingShape">
                    <wps:wsp>
                      <wps:cNvCnPr/>
                      <wps:spPr>
                        <a:xfrm>
                          <a:off x="0" y="0"/>
                          <a:ext cx="5809615" cy="635"/>
                        </a:xfrm>
                        <a:prstGeom prst="line">
                          <a:avLst/>
                        </a:prstGeom>
                        <a:ln w="22225"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7pt;margin-top:12.2pt;height:0.05pt;width:457.45pt;z-index:251659264;mso-width-relative:page;mso-height-relative:page;" filled="f" stroked="t" coordsize="21600,21600" o:gfxdata="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1+XDt2QAAAAgBAAAPAAAAAAAAAAEAIAAAACIAAABkcnMvZG93bnJldi54bWxQSwEC&#10;FAAUAAAACACHTuJALgiC7PMBAADpAwAADgAAAAAAAAABACAAAAAoAQAAZHJzL2Uyb0RvYy54bWxQ&#10;SwUGAAAAAAYABgBZAQAAjQUAAAAA&#10;">
                <v:fill on="f" focussize="0,0"/>
                <v:stroke weight="1.75pt" color="#FF0000" joinstyle="round"/>
                <v:imagedata o:title=""/>
                <o:lock v:ext="edit" aspectratio="f"/>
              </v:line>
            </w:pict>
          </mc:Fallback>
        </mc:AlternateContent>
      </w:r>
    </w:p>
    <w:p w14:paraId="7F727326">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imes New Roman" w:hAnsi="Times New Roman" w:cs="Times New Roman"/>
        </w:rPr>
      </w:pPr>
    </w:p>
    <w:p w14:paraId="13D25978">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重庆市开州区国有资产监督管理委员会</w:t>
      </w:r>
    </w:p>
    <w:p w14:paraId="6289EF7C">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sz w:val="44"/>
          <w:szCs w:val="44"/>
        </w:rPr>
        <w:t>关</w:t>
      </w:r>
      <w:r>
        <w:rPr>
          <w:rFonts w:hint="default" w:ascii="Times New Roman" w:hAnsi="Times New Roman" w:eastAsia="方正小标宋_GBK" w:cs="Times New Roman"/>
          <w:color w:val="000000"/>
          <w:sz w:val="44"/>
          <w:szCs w:val="44"/>
        </w:rPr>
        <w:t>于重庆市开州区国有资产服务中心</w:t>
      </w:r>
    </w:p>
    <w:p w14:paraId="174F34DF">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color w:val="000000"/>
          <w:sz w:val="44"/>
          <w:szCs w:val="44"/>
        </w:rPr>
        <w:t>202</w:t>
      </w:r>
      <w:r>
        <w:rPr>
          <w:rFonts w:hint="default" w:ascii="Times New Roman" w:hAnsi="Times New Roman" w:eastAsia="方正小标宋_GBK" w:cs="Times New Roman"/>
          <w:color w:val="000000"/>
          <w:sz w:val="44"/>
          <w:szCs w:val="44"/>
          <w:lang w:val="en-US" w:eastAsia="zh-CN"/>
        </w:rPr>
        <w:t>6</w:t>
      </w:r>
      <w:r>
        <w:rPr>
          <w:rFonts w:hint="default" w:ascii="Times New Roman" w:hAnsi="Times New Roman" w:eastAsia="方正小标宋_GBK" w:cs="Times New Roman"/>
          <w:color w:val="000000"/>
          <w:sz w:val="44"/>
          <w:szCs w:val="44"/>
        </w:rPr>
        <w:t>年部门预</w:t>
      </w:r>
      <w:r>
        <w:rPr>
          <w:rFonts w:hint="default" w:ascii="Times New Roman" w:hAnsi="Times New Roman" w:eastAsia="方正小标宋_GBK" w:cs="Times New Roman"/>
          <w:sz w:val="44"/>
          <w:szCs w:val="44"/>
        </w:rPr>
        <w:t>算情况公开的公告</w:t>
      </w:r>
    </w:p>
    <w:p w14:paraId="065E80BB">
      <w:pPr>
        <w:spacing w:line="594" w:lineRule="exact"/>
        <w:ind w:firstLine="880"/>
        <w:jc w:val="center"/>
        <w:rPr>
          <w:rFonts w:hint="default" w:ascii="Times New Roman" w:hAnsi="Times New Roman" w:eastAsia="方正小标宋_GBK" w:cs="Times New Roman"/>
          <w:sz w:val="44"/>
          <w:szCs w:val="44"/>
        </w:rPr>
      </w:pPr>
    </w:p>
    <w:p w14:paraId="549431C6">
      <w:pPr>
        <w:spacing w:line="594" w:lineRule="exact"/>
        <w:ind w:firstLine="640" w:firstLineChars="200"/>
        <w:rPr>
          <w:rFonts w:hint="default" w:ascii="Times New Roman" w:hAnsi="Times New Roman" w:eastAsia="方正仿宋_GBK" w:cs="Times New Roman"/>
          <w:sz w:val="32"/>
          <w:szCs w:val="32"/>
        </w:rPr>
      </w:pPr>
    </w:p>
    <w:p w14:paraId="3CB7DF7B">
      <w:pPr>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按照有关财政预算公开的部署和要求，依据《中华人民共和国政府信息公开条例》（国务院令第492号）和重庆市开州区国有资产监督管理委员会《关于批复202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年部门预算的通知》（开州国资发〔202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号）</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现将</w:t>
      </w:r>
      <w:r>
        <w:rPr>
          <w:rFonts w:hint="default" w:ascii="Times New Roman" w:hAnsi="Times New Roman" w:eastAsia="方正仿宋_GBK" w:cs="Times New Roman"/>
          <w:sz w:val="32"/>
          <w:szCs w:val="32"/>
          <w:highlight w:val="none"/>
          <w:lang w:val="en-US" w:eastAsia="zh-CN"/>
        </w:rPr>
        <w:t>重庆市开州区国有资产服务中心2026</w:t>
      </w:r>
      <w:r>
        <w:rPr>
          <w:rFonts w:hint="default" w:ascii="Times New Roman" w:hAnsi="Times New Roman" w:eastAsia="方正仿宋_GBK" w:cs="Times New Roman"/>
          <w:sz w:val="32"/>
          <w:szCs w:val="32"/>
          <w:highlight w:val="none"/>
        </w:rPr>
        <w:t>年部门预算批复情况公开如下：</w:t>
      </w:r>
    </w:p>
    <w:p w14:paraId="6D55119C">
      <w:pPr>
        <w:spacing w:line="594" w:lineRule="exact"/>
        <w:ind w:firstLine="88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目</w:t>
      </w:r>
      <w:r>
        <w:rPr>
          <w:rFonts w:hint="default" w:ascii="Times New Roman" w:hAnsi="Times New Roman" w:eastAsia="方正小标宋_GBK" w:cs="Times New Roman"/>
          <w:sz w:val="44"/>
          <w:szCs w:val="44"/>
          <w:lang w:val="en-US" w:eastAsia="zh-CN"/>
        </w:rPr>
        <w:t xml:space="preserve">    </w:t>
      </w:r>
      <w:r>
        <w:rPr>
          <w:rFonts w:hint="default" w:ascii="Times New Roman" w:hAnsi="Times New Roman" w:eastAsia="方正小标宋_GBK" w:cs="Times New Roman"/>
          <w:sz w:val="44"/>
          <w:szCs w:val="44"/>
        </w:rPr>
        <w:t>录</w:t>
      </w:r>
    </w:p>
    <w:p w14:paraId="32D4D521">
      <w:pPr>
        <w:spacing w:line="594" w:lineRule="exact"/>
        <w:rPr>
          <w:rFonts w:hint="default" w:ascii="Times New Roman" w:hAnsi="Times New Roman" w:cs="Times New Roman"/>
        </w:rPr>
      </w:pPr>
    </w:p>
    <w:p w14:paraId="3AAD9402">
      <w:pPr>
        <w:spacing w:line="594" w:lineRule="exact"/>
        <w:jc w:val="center"/>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第一部分：202</w:t>
      </w:r>
      <w:r>
        <w:rPr>
          <w:rFonts w:hint="default" w:ascii="Times New Roman" w:hAnsi="Times New Roman" w:eastAsia="方正楷体_GBK" w:cs="Times New Roman"/>
          <w:sz w:val="32"/>
          <w:szCs w:val="32"/>
          <w:lang w:val="en-US" w:eastAsia="zh-CN"/>
        </w:rPr>
        <w:t>6</w:t>
      </w:r>
      <w:r>
        <w:rPr>
          <w:rFonts w:hint="default" w:ascii="Times New Roman" w:hAnsi="Times New Roman" w:eastAsia="方正楷体_GBK" w:cs="Times New Roman"/>
          <w:sz w:val="32"/>
          <w:szCs w:val="32"/>
        </w:rPr>
        <w:t>年部门预算情况说明</w:t>
      </w:r>
    </w:p>
    <w:p w14:paraId="6A002ED9">
      <w:pPr>
        <w:spacing w:line="594" w:lineRule="exact"/>
        <w:rPr>
          <w:rFonts w:hint="default" w:ascii="Times New Roman" w:hAnsi="Times New Roman" w:cs="Times New Roman"/>
        </w:rPr>
      </w:pPr>
    </w:p>
    <w:p w14:paraId="6B28DF9A">
      <w:pPr>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一、单位基本情况</w:t>
      </w:r>
    </w:p>
    <w:p w14:paraId="330F87C6">
      <w:pPr>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二、部门收支总体情况</w:t>
      </w:r>
    </w:p>
    <w:p w14:paraId="595B6844">
      <w:pPr>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三、部门预算情况说明</w:t>
      </w:r>
    </w:p>
    <w:p w14:paraId="30C5DFD0">
      <w:pPr>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四、“三公”经费情况说明</w:t>
      </w:r>
    </w:p>
    <w:p w14:paraId="69E55A89">
      <w:pPr>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五、其他重要事项的情况说明</w:t>
      </w:r>
    </w:p>
    <w:p w14:paraId="47466601">
      <w:pPr>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六、专业性名词解释</w:t>
      </w:r>
    </w:p>
    <w:p w14:paraId="7B6B052F">
      <w:pPr>
        <w:spacing w:line="594" w:lineRule="exact"/>
        <w:rPr>
          <w:rFonts w:hint="default" w:ascii="Times New Roman" w:hAnsi="Times New Roman" w:eastAsia="方正仿宋_GBK" w:cs="Times New Roman"/>
          <w:sz w:val="32"/>
          <w:szCs w:val="32"/>
        </w:rPr>
      </w:pPr>
    </w:p>
    <w:p w14:paraId="63F5FA6F">
      <w:pPr>
        <w:spacing w:line="594" w:lineRule="exact"/>
        <w:jc w:val="center"/>
        <w:rPr>
          <w:rFonts w:hint="default" w:ascii="Times New Roman" w:hAnsi="Times New Roman" w:cs="Times New Roman"/>
        </w:rPr>
      </w:pPr>
      <w:r>
        <w:rPr>
          <w:rFonts w:hint="default" w:ascii="Times New Roman" w:hAnsi="Times New Roman" w:eastAsia="方正楷体_GBK" w:cs="Times New Roman"/>
          <w:sz w:val="32"/>
          <w:szCs w:val="32"/>
        </w:rPr>
        <w:t>第二部分：202</w:t>
      </w:r>
      <w:r>
        <w:rPr>
          <w:rFonts w:hint="default" w:ascii="Times New Roman" w:hAnsi="Times New Roman" w:eastAsia="方正楷体_GBK" w:cs="Times New Roman"/>
          <w:sz w:val="32"/>
          <w:szCs w:val="32"/>
          <w:lang w:val="en-US" w:eastAsia="zh-CN"/>
        </w:rPr>
        <w:t>6</w:t>
      </w:r>
      <w:r>
        <w:rPr>
          <w:rFonts w:hint="default" w:ascii="Times New Roman" w:hAnsi="Times New Roman" w:eastAsia="方正楷体_GBK" w:cs="Times New Roman"/>
          <w:sz w:val="32"/>
          <w:szCs w:val="32"/>
        </w:rPr>
        <w:t>年部门预算公开报表</w:t>
      </w:r>
    </w:p>
    <w:p w14:paraId="22464528">
      <w:pPr>
        <w:spacing w:line="594" w:lineRule="exact"/>
        <w:rPr>
          <w:rFonts w:hint="default" w:ascii="Times New Roman" w:hAnsi="Times New Roman" w:eastAsia="方正仿宋_GBK" w:cs="Times New Roman"/>
          <w:sz w:val="32"/>
          <w:szCs w:val="32"/>
        </w:rPr>
      </w:pPr>
    </w:p>
    <w:p w14:paraId="1E570021">
      <w:pPr>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表1、重庆市开州区国有资产服务中心收支预算总表</w:t>
      </w:r>
    </w:p>
    <w:p w14:paraId="2FA842C3">
      <w:pPr>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表2、重庆市开州区国有资产服务中心收入总表</w:t>
      </w:r>
    </w:p>
    <w:p w14:paraId="00101D01">
      <w:pPr>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表3、重庆市开州区国有资产服务中心本年支出预算总表</w:t>
      </w:r>
    </w:p>
    <w:p w14:paraId="33140578">
      <w:pPr>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表4、重庆市开州区国有资产服务中心财政拨款收支预算总表</w:t>
      </w:r>
    </w:p>
    <w:p w14:paraId="7162C476">
      <w:pPr>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表5、重庆市开州区国有资产服务中心本年一般公共预算支出预算表</w:t>
      </w:r>
    </w:p>
    <w:p w14:paraId="242BB2B9">
      <w:pPr>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表6、重庆市开州区国有资产服务中心一般公共预算基本支出预算表</w:t>
      </w:r>
    </w:p>
    <w:p w14:paraId="27808762">
      <w:pPr>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表7、重庆市开州区国有资产服务中心一般公共预算“三公”经费支出预算表</w:t>
      </w:r>
    </w:p>
    <w:p w14:paraId="504FA2AF">
      <w:pPr>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表8、重庆市开州区国有资产服务中心政府性基金预算支出预算表</w:t>
      </w:r>
    </w:p>
    <w:p w14:paraId="70008A54">
      <w:pPr>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表9、重庆市开州区国有资产服务中心国有资本经营预算支出预算表</w:t>
      </w:r>
    </w:p>
    <w:p w14:paraId="667B7F03">
      <w:pPr>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表10、重庆市开州区国有资产服务中心项目支出表</w:t>
      </w:r>
    </w:p>
    <w:p w14:paraId="113C49A9">
      <w:pPr>
        <w:spacing w:line="594"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表11、</w:t>
      </w:r>
      <w:r>
        <w:rPr>
          <w:rFonts w:hint="default" w:ascii="Times New Roman" w:hAnsi="Times New Roman" w:eastAsia="方正仿宋_GBK" w:cs="Times New Roman"/>
          <w:sz w:val="32"/>
          <w:szCs w:val="32"/>
          <w:lang w:val="en-US" w:eastAsia="zh-CN"/>
        </w:rPr>
        <w:t>2026年</w:t>
      </w:r>
      <w:r>
        <w:rPr>
          <w:rFonts w:hint="default" w:ascii="Times New Roman" w:hAnsi="Times New Roman" w:eastAsia="方正仿宋_GBK" w:cs="Times New Roman"/>
          <w:sz w:val="32"/>
          <w:szCs w:val="32"/>
        </w:rPr>
        <w:t>重庆市开州区国有资产服务中心项目绩效目标表</w:t>
      </w:r>
    </w:p>
    <w:p w14:paraId="669C1C1A">
      <w:pPr>
        <w:spacing w:line="594" w:lineRule="exact"/>
        <w:rPr>
          <w:rFonts w:hint="default" w:ascii="Times New Roman" w:hAnsi="Times New Roman" w:eastAsia="方正仿宋_GBK" w:cs="Times New Roman"/>
          <w:sz w:val="32"/>
          <w:szCs w:val="32"/>
        </w:rPr>
      </w:pPr>
    </w:p>
    <w:p w14:paraId="4175DC17">
      <w:pPr>
        <w:spacing w:line="594" w:lineRule="exact"/>
        <w:rPr>
          <w:rFonts w:hint="default" w:ascii="Times New Roman" w:hAnsi="Times New Roman" w:eastAsia="方正仿宋_GBK" w:cs="Times New Roman"/>
          <w:sz w:val="32"/>
          <w:szCs w:val="32"/>
        </w:rPr>
      </w:pPr>
    </w:p>
    <w:p w14:paraId="0A952F74">
      <w:pPr>
        <w:spacing w:line="594" w:lineRule="exact"/>
        <w:rPr>
          <w:rFonts w:hint="default" w:ascii="Times New Roman" w:hAnsi="Times New Roman" w:cs="Times New Roman"/>
        </w:rPr>
      </w:pPr>
    </w:p>
    <w:p w14:paraId="1202E2B1">
      <w:pPr>
        <w:spacing w:line="594" w:lineRule="exact"/>
        <w:rPr>
          <w:rFonts w:hint="default" w:ascii="Times New Roman" w:hAnsi="Times New Roman" w:cs="Times New Roman"/>
        </w:rPr>
      </w:pPr>
    </w:p>
    <w:p w14:paraId="45865158">
      <w:pPr>
        <w:spacing w:line="594" w:lineRule="exact"/>
        <w:ind w:firstLine="3040" w:firstLineChars="950"/>
        <w:rPr>
          <w:rFonts w:hint="default" w:ascii="Times New Roman" w:hAnsi="Times New Roman" w:eastAsia="方正仿宋_GBK" w:cs="Times New Roman"/>
          <w:sz w:val="32"/>
          <w:szCs w:val="32"/>
        </w:rPr>
      </w:pPr>
    </w:p>
    <w:p w14:paraId="0BE203BF">
      <w:pPr>
        <w:spacing w:line="594" w:lineRule="exact"/>
        <w:ind w:firstLine="880"/>
        <w:jc w:val="center"/>
        <w:rPr>
          <w:rFonts w:hint="default" w:ascii="Times New Roman" w:hAnsi="Times New Roman" w:eastAsia="方正小标宋_GBK" w:cs="Times New Roman"/>
          <w:sz w:val="44"/>
          <w:szCs w:val="44"/>
        </w:rPr>
      </w:pPr>
    </w:p>
    <w:p w14:paraId="2905CB80">
      <w:pPr>
        <w:spacing w:line="594" w:lineRule="exact"/>
        <w:ind w:firstLine="880"/>
        <w:jc w:val="center"/>
        <w:rPr>
          <w:rFonts w:hint="default" w:ascii="Times New Roman" w:hAnsi="Times New Roman" w:eastAsia="方正小标宋_GBK" w:cs="Times New Roman"/>
          <w:sz w:val="44"/>
          <w:szCs w:val="44"/>
        </w:rPr>
      </w:pPr>
    </w:p>
    <w:p w14:paraId="62AD9C96">
      <w:pPr>
        <w:spacing w:line="594" w:lineRule="exact"/>
        <w:jc w:val="both"/>
        <w:rPr>
          <w:rFonts w:hint="default" w:ascii="Times New Roman" w:hAnsi="Times New Roman" w:eastAsia="方正小标宋_GBK" w:cs="Times New Roman"/>
          <w:sz w:val="44"/>
          <w:szCs w:val="44"/>
        </w:rPr>
      </w:pPr>
    </w:p>
    <w:p w14:paraId="4CAFBB5C">
      <w:pPr>
        <w:spacing w:line="594" w:lineRule="exact"/>
        <w:jc w:val="both"/>
        <w:rPr>
          <w:rFonts w:hint="default" w:ascii="Times New Roman" w:hAnsi="Times New Roman" w:eastAsia="方正小标宋_GBK" w:cs="Times New Roman"/>
          <w:sz w:val="44"/>
          <w:szCs w:val="44"/>
        </w:rPr>
      </w:pPr>
    </w:p>
    <w:p w14:paraId="78EB4830">
      <w:pPr>
        <w:spacing w:line="594" w:lineRule="exact"/>
        <w:jc w:val="both"/>
        <w:rPr>
          <w:rFonts w:hint="default" w:ascii="Times New Roman" w:hAnsi="Times New Roman" w:eastAsia="方正小标宋_GBK" w:cs="Times New Roman"/>
          <w:sz w:val="44"/>
          <w:szCs w:val="44"/>
        </w:rPr>
      </w:pPr>
    </w:p>
    <w:p w14:paraId="3E1492D2">
      <w:pPr>
        <w:spacing w:line="594" w:lineRule="exact"/>
        <w:jc w:val="both"/>
        <w:rPr>
          <w:rFonts w:hint="default" w:ascii="Times New Roman" w:hAnsi="Times New Roman" w:eastAsia="方正小标宋_GBK" w:cs="Times New Roman"/>
          <w:sz w:val="44"/>
          <w:szCs w:val="44"/>
        </w:rPr>
      </w:pPr>
    </w:p>
    <w:p w14:paraId="566E1DB6">
      <w:pPr>
        <w:spacing w:line="594" w:lineRule="exact"/>
        <w:ind w:firstLine="880"/>
        <w:jc w:val="center"/>
        <w:rPr>
          <w:rFonts w:hint="default" w:ascii="Times New Roman" w:hAnsi="Times New Roman" w:eastAsia="方正小标宋_GBK" w:cs="Times New Roman"/>
          <w:sz w:val="44"/>
          <w:szCs w:val="44"/>
        </w:rPr>
      </w:pPr>
    </w:p>
    <w:p w14:paraId="15665D53">
      <w:pPr>
        <w:spacing w:line="594" w:lineRule="exact"/>
        <w:ind w:firstLine="880"/>
        <w:jc w:val="center"/>
        <w:rPr>
          <w:rFonts w:hint="default" w:ascii="Times New Roman" w:hAnsi="Times New Roman" w:eastAsia="方正小标宋_GBK" w:cs="Times New Roman"/>
          <w:sz w:val="44"/>
          <w:szCs w:val="44"/>
        </w:rPr>
      </w:pPr>
    </w:p>
    <w:p w14:paraId="51150EF1">
      <w:pPr>
        <w:keepNext w:val="0"/>
        <w:keepLines w:val="0"/>
        <w:pageBreakBefore w:val="0"/>
        <w:widowControl w:val="0"/>
        <w:kinsoku/>
        <w:wordWrap/>
        <w:overflowPunct/>
        <w:topLinePunct w:val="0"/>
        <w:autoSpaceDE/>
        <w:autoSpaceDN/>
        <w:bidi w:val="0"/>
        <w:adjustRightInd/>
        <w:snapToGrid/>
        <w:spacing w:line="594" w:lineRule="exact"/>
        <w:ind w:firstLine="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第一部分：202</w:t>
      </w:r>
      <w:r>
        <w:rPr>
          <w:rFonts w:hint="default"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rPr>
        <w:t>年部门预算情况说明</w:t>
      </w:r>
    </w:p>
    <w:p w14:paraId="650FB500">
      <w:pPr>
        <w:spacing w:line="594" w:lineRule="exact"/>
        <w:ind w:firstLine="880" w:firstLineChars="200"/>
        <w:jc w:val="center"/>
        <w:rPr>
          <w:rFonts w:hint="default" w:ascii="Times New Roman" w:hAnsi="Times New Roman" w:eastAsia="华文中宋" w:cs="Times New Roman"/>
          <w:sz w:val="44"/>
          <w:szCs w:val="44"/>
        </w:rPr>
      </w:pPr>
    </w:p>
    <w:p w14:paraId="3D1656AB">
      <w:pPr>
        <w:spacing w:line="594" w:lineRule="exact"/>
        <w:ind w:firstLine="640" w:firstLineChars="200"/>
        <w:rPr>
          <w:rFonts w:hint="default" w:ascii="Times New Roman" w:hAnsi="Times New Roman" w:eastAsia="方正黑体_GBK" w:cs="Times New Roman"/>
          <w:sz w:val="32"/>
        </w:rPr>
      </w:pPr>
      <w:r>
        <w:rPr>
          <w:rFonts w:hint="default" w:ascii="Times New Roman" w:hAnsi="Times New Roman" w:eastAsia="方正黑体_GBK" w:cs="Times New Roman"/>
          <w:sz w:val="32"/>
        </w:rPr>
        <w:t>一、单位基本情况</w:t>
      </w:r>
    </w:p>
    <w:p w14:paraId="152F7E18">
      <w:pPr>
        <w:spacing w:line="594" w:lineRule="exact"/>
        <w:ind w:firstLine="640" w:firstLineChars="200"/>
        <w:rPr>
          <w:rFonts w:hint="default" w:ascii="Times New Roman" w:hAnsi="Times New Roman" w:eastAsia="方正楷体_GBK" w:cs="Times New Roman"/>
          <w:sz w:val="32"/>
        </w:rPr>
      </w:pPr>
      <w:r>
        <w:rPr>
          <w:rFonts w:hint="default" w:ascii="Times New Roman" w:hAnsi="Times New Roman" w:eastAsia="方正楷体_GBK" w:cs="Times New Roman"/>
          <w:sz w:val="32"/>
        </w:rPr>
        <w:t>（一）职能职责</w:t>
      </w:r>
    </w:p>
    <w:p w14:paraId="5DCDFE74">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重庆市开州区国有资产服务中心为重庆市开州区国有资产监督管理委员会管理的正科级事业单位。</w:t>
      </w:r>
    </w:p>
    <w:p w14:paraId="7BE9028C">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承担区属国有企业及国有控股企业党的建设、法制建设、党风廉政建设、群团等事务性工作；承担有关会务、公务接待、办公信息化、安全保卫、资产管理及后勤保障工作；协助完成企业信息收集、整理、报送工作。</w:t>
      </w:r>
    </w:p>
    <w:p w14:paraId="022743C0">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2.协助推进区属国有企业及国有控股企业文化建设、教育培训工作；指导企业安全生产、应急管理、环境保护、节能减排、扶贫涉困工作；参与处理企业来信来访及处置重大集访工作。</w:t>
      </w:r>
    </w:p>
    <w:p w14:paraId="701A94FB">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3.参与制定国有资产保值增值指标体系和考核标准，并组织实施；协助完成区属国有企业负责人年度和任期经营业绩考核工作。</w:t>
      </w:r>
    </w:p>
    <w:p w14:paraId="7DAA878D">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4.协助指导企业清产核资和资产损失核销工作；督促国有企业国有资本收益上交；参与完成企业国有资产统计分析工作。</w:t>
      </w:r>
    </w:p>
    <w:p w14:paraId="51A2EDFA">
      <w:pPr>
        <w:spacing w:line="594"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rPr>
        <w:t>5.承担上级</w:t>
      </w:r>
      <w:r>
        <w:rPr>
          <w:rFonts w:hint="default" w:ascii="Times New Roman" w:hAnsi="Times New Roman" w:eastAsia="方正仿宋_GBK" w:cs="Times New Roman"/>
          <w:sz w:val="32"/>
          <w:szCs w:val="32"/>
          <w:highlight w:val="none"/>
        </w:rPr>
        <w:t>交办的其他事务性工作。</w:t>
      </w:r>
    </w:p>
    <w:p w14:paraId="7D234A28">
      <w:pPr>
        <w:pStyle w:val="11"/>
        <w:rPr>
          <w:rFonts w:hint="default" w:ascii="Times New Roman" w:hAnsi="Times New Roman" w:eastAsia="方正楷体_GBK" w:cs="Times New Roman"/>
          <w:highlight w:val="none"/>
        </w:rPr>
      </w:pPr>
      <w:r>
        <w:rPr>
          <w:rFonts w:hint="default" w:ascii="Times New Roman" w:hAnsi="Times New Roman" w:eastAsia="方正楷体_GBK" w:cs="Times New Roman"/>
          <w:highlight w:val="none"/>
        </w:rPr>
        <w:t>（二）单位构成</w:t>
      </w:r>
    </w:p>
    <w:p w14:paraId="470550F5">
      <w:pPr>
        <w:spacing w:line="594" w:lineRule="exact"/>
        <w:ind w:firstLine="640" w:firstLineChars="200"/>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sz w:val="32"/>
          <w:szCs w:val="32"/>
          <w:highlight w:val="none"/>
        </w:rPr>
        <w:t>重庆市开州区国有资产服务中心事业编制16名，其中工勤事业编制1名。设主任1名，副主任2名。目前</w:t>
      </w:r>
      <w:r>
        <w:rPr>
          <w:rFonts w:hint="default" w:ascii="Times New Roman" w:hAnsi="Times New Roman" w:eastAsia="方正仿宋_GBK" w:cs="Times New Roman"/>
          <w:color w:val="000000"/>
          <w:sz w:val="32"/>
          <w:szCs w:val="32"/>
          <w:highlight w:val="none"/>
        </w:rPr>
        <w:t>在编在岗职工</w:t>
      </w:r>
      <w:r>
        <w:rPr>
          <w:rFonts w:hint="default" w:ascii="Times New Roman" w:hAnsi="Times New Roman" w:eastAsia="方正仿宋_GBK" w:cs="Times New Roman"/>
          <w:color w:val="000000"/>
          <w:sz w:val="32"/>
          <w:szCs w:val="32"/>
          <w:highlight w:val="none"/>
          <w:lang w:val="en-US" w:eastAsia="zh-CN"/>
        </w:rPr>
        <w:t>6</w:t>
      </w:r>
      <w:r>
        <w:rPr>
          <w:rFonts w:hint="default" w:ascii="Times New Roman" w:hAnsi="Times New Roman" w:eastAsia="方正仿宋_GBK" w:cs="Times New Roman"/>
          <w:color w:val="000000"/>
          <w:sz w:val="32"/>
          <w:szCs w:val="32"/>
          <w:highlight w:val="none"/>
        </w:rPr>
        <w:t>名。</w:t>
      </w:r>
    </w:p>
    <w:p w14:paraId="7887EF41">
      <w:pPr>
        <w:pStyle w:val="11"/>
        <w:rPr>
          <w:rFonts w:hint="default" w:ascii="Times New Roman" w:hAnsi="Times New Roman" w:eastAsia="方正仿宋_GBK" w:cs="Times New Roman"/>
          <w:highlight w:val="none"/>
          <w:lang w:eastAsia="zh-CN"/>
        </w:rPr>
      </w:pPr>
      <w:r>
        <w:rPr>
          <w:rFonts w:hint="default" w:ascii="Times New Roman" w:hAnsi="Times New Roman" w:cs="Times New Roman"/>
          <w:highlight w:val="none"/>
        </w:rPr>
        <w:t>从预算单位构成看，二级预算单位1个--重庆市开州区国有资产服务中心</w:t>
      </w:r>
      <w:r>
        <w:rPr>
          <w:rFonts w:hint="default" w:ascii="Times New Roman" w:hAnsi="Times New Roman" w:cs="Times New Roman"/>
          <w:highlight w:val="none"/>
          <w:lang w:eastAsia="zh-CN"/>
        </w:rPr>
        <w:t>。</w:t>
      </w:r>
    </w:p>
    <w:p w14:paraId="5C401125">
      <w:pPr>
        <w:spacing w:line="594"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二、部门收支总体情况</w:t>
      </w:r>
    </w:p>
    <w:p w14:paraId="2280169F">
      <w:pPr>
        <w:spacing w:line="600" w:lineRule="exact"/>
        <w:ind w:firstLine="640" w:firstLineChars="200"/>
        <w:rPr>
          <w:rFonts w:hint="default" w:ascii="Times New Roman" w:hAnsi="Times New Roman" w:eastAsia="方正仿宋_GBK" w:cs="Times New Roman"/>
          <w:sz w:val="32"/>
          <w:highlight w:val="none"/>
          <w:lang w:val="en-US" w:eastAsia="zh-CN"/>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lang w:eastAsia="zh-CN"/>
        </w:rPr>
        <w:t>202</w:t>
      </w:r>
      <w:r>
        <w:rPr>
          <w:rFonts w:hint="default" w:ascii="Times New Roman" w:hAnsi="Times New Roman" w:eastAsia="方正仿宋_GBK" w:cs="Times New Roman"/>
          <w:sz w:val="32"/>
          <w:lang w:val="en-US" w:eastAsia="zh-CN"/>
        </w:rPr>
        <w:t>6</w:t>
      </w:r>
      <w:r>
        <w:rPr>
          <w:rFonts w:hint="default" w:ascii="Times New Roman" w:hAnsi="Times New Roman" w:eastAsia="方正仿宋_GBK" w:cs="Times New Roman"/>
          <w:sz w:val="32"/>
        </w:rPr>
        <w:t>年年初预算数</w:t>
      </w:r>
      <w:r>
        <w:rPr>
          <w:rFonts w:hint="default" w:ascii="Times New Roman" w:hAnsi="Times New Roman" w:eastAsia="方正仿宋_GBK" w:cs="Times New Roman"/>
          <w:sz w:val="32"/>
          <w:lang w:val="en-US" w:eastAsia="zh-CN"/>
        </w:rPr>
        <w:t>152.02</w:t>
      </w:r>
      <w:r>
        <w:rPr>
          <w:rFonts w:hint="default" w:ascii="Times New Roman" w:hAnsi="Times New Roman" w:eastAsia="方正仿宋_GBK" w:cs="Times New Roman"/>
          <w:sz w:val="32"/>
        </w:rPr>
        <w:t>万元，</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lang w:eastAsia="zh-CN"/>
        </w:rPr>
        <w:t>均为</w:t>
      </w:r>
      <w:r>
        <w:rPr>
          <w:rFonts w:hint="default" w:ascii="Times New Roman" w:hAnsi="Times New Roman" w:eastAsia="方正仿宋_GBK" w:cs="Times New Roman"/>
          <w:sz w:val="32"/>
        </w:rPr>
        <w:t>一般公共预算拨款</w:t>
      </w:r>
      <w:r>
        <w:rPr>
          <w:rFonts w:hint="default" w:ascii="Times New Roman" w:hAnsi="Times New Roman" w:eastAsia="方正仿宋_GBK" w:cs="Times New Roman"/>
          <w:sz w:val="32"/>
          <w:highlight w:val="none"/>
          <w:lang w:eastAsia="zh-CN"/>
        </w:rPr>
        <w:t>。无</w:t>
      </w:r>
      <w:r>
        <w:rPr>
          <w:rFonts w:hint="default" w:ascii="Times New Roman" w:hAnsi="Times New Roman" w:eastAsia="方正仿宋_GBK" w:cs="Times New Roman"/>
          <w:sz w:val="32"/>
          <w:highlight w:val="none"/>
        </w:rPr>
        <w:t>政府性基金预算拨款</w:t>
      </w:r>
      <w:r>
        <w:rPr>
          <w:rFonts w:hint="default" w:ascii="Times New Roman" w:hAnsi="Times New Roman" w:eastAsia="方正仿宋_GBK" w:cs="Times New Roman"/>
          <w:sz w:val="32"/>
          <w:highlight w:val="none"/>
          <w:lang w:val="en-US" w:eastAsia="zh-CN"/>
        </w:rPr>
        <w:t>、</w:t>
      </w:r>
      <w:r>
        <w:rPr>
          <w:rFonts w:hint="default" w:ascii="Times New Roman" w:hAnsi="Times New Roman" w:eastAsia="方正仿宋_GBK" w:cs="Times New Roman"/>
          <w:sz w:val="32"/>
          <w:highlight w:val="none"/>
        </w:rPr>
        <w:t>国有资本经营预算收入</w:t>
      </w:r>
      <w:r>
        <w:rPr>
          <w:rFonts w:hint="default" w:ascii="Times New Roman" w:hAnsi="Times New Roman" w:eastAsia="方正仿宋_GBK" w:cs="Times New Roman"/>
          <w:sz w:val="32"/>
          <w:highlight w:val="none"/>
          <w:lang w:val="en-US" w:eastAsia="zh-CN"/>
        </w:rPr>
        <w:t>、</w:t>
      </w:r>
      <w:r>
        <w:rPr>
          <w:rFonts w:hint="default" w:ascii="Times New Roman" w:hAnsi="Times New Roman" w:eastAsia="方正仿宋_GBK" w:cs="Times New Roman"/>
          <w:sz w:val="32"/>
          <w:highlight w:val="none"/>
        </w:rPr>
        <w:t>事业收入</w:t>
      </w:r>
      <w:r>
        <w:rPr>
          <w:rFonts w:hint="default" w:ascii="Times New Roman" w:hAnsi="Times New Roman" w:eastAsia="方正仿宋_GBK" w:cs="Times New Roman"/>
          <w:sz w:val="32"/>
          <w:highlight w:val="none"/>
          <w:lang w:val="en-US" w:eastAsia="zh-CN"/>
        </w:rPr>
        <w:t>、</w:t>
      </w:r>
      <w:r>
        <w:rPr>
          <w:rFonts w:hint="default" w:ascii="Times New Roman" w:hAnsi="Times New Roman" w:eastAsia="方正仿宋_GBK" w:cs="Times New Roman"/>
          <w:sz w:val="32"/>
          <w:highlight w:val="none"/>
        </w:rPr>
        <w:t>事业单位经营收入</w:t>
      </w:r>
      <w:r>
        <w:rPr>
          <w:rFonts w:hint="default" w:ascii="Times New Roman" w:hAnsi="Times New Roman" w:eastAsia="方正仿宋_GBK" w:cs="Times New Roman"/>
          <w:sz w:val="32"/>
          <w:highlight w:val="none"/>
          <w:lang w:eastAsia="zh-CN"/>
        </w:rPr>
        <w:t>和</w:t>
      </w:r>
      <w:r>
        <w:rPr>
          <w:rFonts w:hint="default" w:ascii="Times New Roman" w:hAnsi="Times New Roman" w:eastAsia="方正仿宋_GBK" w:cs="Times New Roman"/>
          <w:sz w:val="32"/>
          <w:highlight w:val="none"/>
        </w:rPr>
        <w:t>其他收入。收入较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default" w:ascii="Times New Roman" w:hAnsi="Times New Roman" w:eastAsia="方正仿宋_GBK" w:cs="Times New Roman"/>
          <w:sz w:val="32"/>
          <w:highlight w:val="none"/>
          <w:lang w:val="en-US" w:eastAsia="zh-CN"/>
        </w:rPr>
        <w:t>增加25.92</w:t>
      </w:r>
      <w:r>
        <w:rPr>
          <w:rFonts w:hint="default" w:ascii="Times New Roman" w:hAnsi="Times New Roman" w:eastAsia="方正仿宋_GBK" w:cs="Times New Roman"/>
          <w:sz w:val="32"/>
          <w:highlight w:val="none"/>
        </w:rPr>
        <w:t>万元，主要是</w:t>
      </w:r>
      <w:r>
        <w:rPr>
          <w:rFonts w:hint="default" w:ascii="Times New Roman" w:hAnsi="Times New Roman" w:eastAsia="方正仿宋_GBK" w:cs="Times New Roman"/>
          <w:sz w:val="32"/>
          <w:highlight w:val="none"/>
          <w:lang w:eastAsia="zh-CN"/>
        </w:rPr>
        <w:t>基本支出</w:t>
      </w:r>
      <w:r>
        <w:rPr>
          <w:rFonts w:hint="default" w:ascii="Times New Roman" w:hAnsi="Times New Roman" w:eastAsia="方正仿宋_GBK" w:cs="Times New Roman"/>
          <w:sz w:val="32"/>
          <w:highlight w:val="none"/>
        </w:rPr>
        <w:t>经费拨款</w:t>
      </w:r>
      <w:r>
        <w:rPr>
          <w:rFonts w:hint="default" w:ascii="Times New Roman" w:hAnsi="Times New Roman" w:eastAsia="方正仿宋_GBK" w:cs="Times New Roman"/>
          <w:sz w:val="32"/>
          <w:highlight w:val="none"/>
          <w:lang w:val="en-US" w:eastAsia="zh-CN"/>
        </w:rPr>
        <w:t>增加25.92</w:t>
      </w:r>
      <w:r>
        <w:rPr>
          <w:rFonts w:hint="default" w:ascii="Times New Roman" w:hAnsi="Times New Roman" w:eastAsia="方正仿宋_GBK" w:cs="Times New Roman"/>
          <w:sz w:val="32"/>
          <w:highlight w:val="none"/>
        </w:rPr>
        <w:t>万元。</w:t>
      </w:r>
    </w:p>
    <w:p w14:paraId="2DA86964">
      <w:pPr>
        <w:spacing w:line="594"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rPr>
        <w:t>202</w:t>
      </w:r>
      <w:r>
        <w:rPr>
          <w:rFonts w:hint="default"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年年初预算数</w:t>
      </w:r>
      <w:r>
        <w:rPr>
          <w:rFonts w:hint="default" w:ascii="Times New Roman" w:hAnsi="Times New Roman" w:eastAsia="方正仿宋_GBK" w:cs="Times New Roman"/>
          <w:sz w:val="32"/>
          <w:highlight w:val="none"/>
          <w:lang w:val="en-US" w:eastAsia="zh-CN"/>
        </w:rPr>
        <w:t>152.02</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其中：一般公共服务支出预算0万元，教育支出预算0万元，社会保障和就业支出预算</w:t>
      </w:r>
      <w:r>
        <w:rPr>
          <w:rFonts w:hint="default" w:ascii="Times New Roman" w:hAnsi="Times New Roman" w:eastAsia="方正仿宋_GBK" w:cs="Times New Roman"/>
          <w:sz w:val="32"/>
          <w:highlight w:val="none"/>
          <w:lang w:val="en-US" w:eastAsia="zh-CN"/>
        </w:rPr>
        <w:t>23.44</w:t>
      </w:r>
      <w:r>
        <w:rPr>
          <w:rFonts w:hint="default" w:ascii="Times New Roman" w:hAnsi="Times New Roman" w:eastAsia="方正仿宋_GBK" w:cs="Times New Roman"/>
          <w:sz w:val="32"/>
          <w:highlight w:val="none"/>
        </w:rPr>
        <w:t>万元，卫生健康支出预算</w:t>
      </w:r>
      <w:r>
        <w:rPr>
          <w:rFonts w:hint="default" w:ascii="Times New Roman" w:hAnsi="Times New Roman" w:eastAsia="方正仿宋_GBK" w:cs="Times New Roman"/>
          <w:sz w:val="32"/>
          <w:highlight w:val="none"/>
          <w:lang w:val="en-US" w:eastAsia="zh-CN"/>
        </w:rPr>
        <w:t>9.45</w:t>
      </w:r>
      <w:r>
        <w:rPr>
          <w:rFonts w:hint="default" w:ascii="Times New Roman" w:hAnsi="Times New Roman" w:eastAsia="方正仿宋_GBK" w:cs="Times New Roman"/>
          <w:sz w:val="32"/>
          <w:highlight w:val="none"/>
        </w:rPr>
        <w:t>万元，住房保障支出预算</w:t>
      </w:r>
      <w:r>
        <w:rPr>
          <w:rFonts w:hint="default" w:ascii="Times New Roman" w:hAnsi="Times New Roman" w:eastAsia="方正仿宋_GBK" w:cs="Times New Roman"/>
          <w:sz w:val="32"/>
          <w:highlight w:val="none"/>
          <w:lang w:val="en-US" w:eastAsia="zh-CN"/>
        </w:rPr>
        <w:t>10.5</w:t>
      </w:r>
      <w:r>
        <w:rPr>
          <w:rFonts w:hint="default" w:ascii="Times New Roman" w:hAnsi="Times New Roman" w:eastAsia="方正仿宋_GBK" w:cs="Times New Roman"/>
          <w:sz w:val="32"/>
          <w:highlight w:val="none"/>
        </w:rPr>
        <w:t>万元，资源勘探工业信息等支出</w:t>
      </w:r>
      <w:r>
        <w:rPr>
          <w:rFonts w:hint="default" w:ascii="Times New Roman" w:hAnsi="Times New Roman" w:eastAsia="方正仿宋_GBK" w:cs="Times New Roman"/>
          <w:sz w:val="32"/>
          <w:highlight w:val="none"/>
          <w:lang w:val="en-US" w:eastAsia="zh-CN"/>
        </w:rPr>
        <w:t>108.63</w:t>
      </w:r>
      <w:r>
        <w:rPr>
          <w:rFonts w:hint="default" w:ascii="Times New Roman" w:hAnsi="Times New Roman" w:eastAsia="方正仿宋_GBK" w:cs="Times New Roman"/>
          <w:sz w:val="32"/>
          <w:highlight w:val="none"/>
        </w:rPr>
        <w:t>万元，国有资本经营预算支出0万元。支出预算较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default" w:ascii="Times New Roman" w:hAnsi="Times New Roman" w:eastAsia="方正仿宋_GBK" w:cs="Times New Roman"/>
          <w:sz w:val="32"/>
          <w:highlight w:val="none"/>
          <w:lang w:val="en-US" w:eastAsia="zh-CN"/>
        </w:rPr>
        <w:t>增加25.92</w:t>
      </w:r>
      <w:r>
        <w:rPr>
          <w:rFonts w:hint="default" w:ascii="Times New Roman" w:hAnsi="Times New Roman" w:eastAsia="方正仿宋_GBK" w:cs="Times New Roman"/>
          <w:sz w:val="32"/>
          <w:highlight w:val="none"/>
        </w:rPr>
        <w:t>万元，主要是基本支出预算</w:t>
      </w:r>
      <w:r>
        <w:rPr>
          <w:rFonts w:hint="default" w:ascii="Times New Roman" w:hAnsi="Times New Roman" w:eastAsia="方正仿宋_GBK" w:cs="Times New Roman"/>
          <w:sz w:val="32"/>
          <w:highlight w:val="none"/>
          <w:lang w:val="en-US" w:eastAsia="zh-CN"/>
        </w:rPr>
        <w:t>增加25.92</w:t>
      </w:r>
      <w:r>
        <w:rPr>
          <w:rFonts w:hint="default" w:ascii="Times New Roman" w:hAnsi="Times New Roman" w:eastAsia="方正仿宋_GBK" w:cs="Times New Roman"/>
          <w:sz w:val="32"/>
          <w:highlight w:val="none"/>
        </w:rPr>
        <w:t>万元。</w:t>
      </w:r>
    </w:p>
    <w:p w14:paraId="7E71DB5D">
      <w:pPr>
        <w:spacing w:line="594" w:lineRule="exact"/>
        <w:ind w:firstLine="640" w:firstLineChars="20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三、部门预算情况说明</w:t>
      </w:r>
    </w:p>
    <w:p w14:paraId="7F6E3B8B">
      <w:pPr>
        <w:spacing w:line="594" w:lineRule="exact"/>
        <w:ind w:firstLine="640" w:firstLineChars="200"/>
        <w:rPr>
          <w:rFonts w:hint="default" w:ascii="Times New Roman" w:hAnsi="Times New Roman" w:eastAsia="方正仿宋_GBK" w:cs="Times New Roman"/>
          <w:color w:val="auto"/>
          <w:sz w:val="32"/>
          <w:lang w:eastAsia="zh-CN"/>
        </w:rPr>
      </w:pPr>
      <w:r>
        <w:rPr>
          <w:rFonts w:hint="default" w:ascii="Times New Roman" w:hAnsi="Times New Roman" w:eastAsia="方正仿宋_GBK" w:cs="Times New Roman"/>
          <w:sz w:val="32"/>
          <w:highlight w:val="none"/>
        </w:rPr>
        <w:t>202</w:t>
      </w:r>
      <w:r>
        <w:rPr>
          <w:rFonts w:hint="default"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年一般公共预算财政拨款收入</w:t>
      </w:r>
      <w:r>
        <w:rPr>
          <w:rFonts w:hint="default" w:ascii="Times New Roman" w:hAnsi="Times New Roman" w:eastAsia="方正仿宋_GBK" w:cs="Times New Roman"/>
          <w:sz w:val="32"/>
          <w:highlight w:val="none"/>
          <w:lang w:val="en-US" w:eastAsia="zh-CN"/>
        </w:rPr>
        <w:t>152.02</w:t>
      </w:r>
      <w:r>
        <w:rPr>
          <w:rFonts w:hint="default" w:ascii="Times New Roman" w:hAnsi="Times New Roman" w:eastAsia="方正仿宋_GBK" w:cs="Times New Roman"/>
          <w:sz w:val="32"/>
          <w:highlight w:val="none"/>
        </w:rPr>
        <w:t>万元，一般公共预算财政拨款支出</w:t>
      </w:r>
      <w:r>
        <w:rPr>
          <w:rFonts w:hint="default" w:ascii="Times New Roman" w:hAnsi="Times New Roman" w:eastAsia="方正仿宋_GBK" w:cs="Times New Roman"/>
          <w:sz w:val="32"/>
          <w:highlight w:val="none"/>
          <w:lang w:val="en-US" w:eastAsia="zh-CN"/>
        </w:rPr>
        <w:t>152.02</w:t>
      </w:r>
      <w:r>
        <w:rPr>
          <w:rFonts w:hint="default" w:ascii="Times New Roman" w:hAnsi="Times New Roman" w:eastAsia="方正仿宋_GBK" w:cs="Times New Roman"/>
          <w:sz w:val="32"/>
          <w:highlight w:val="none"/>
        </w:rPr>
        <w:t>万元。其中：基本支出</w:t>
      </w:r>
      <w:r>
        <w:rPr>
          <w:rFonts w:hint="default" w:ascii="Times New Roman" w:hAnsi="Times New Roman" w:eastAsia="方正仿宋_GBK" w:cs="Times New Roman"/>
          <w:sz w:val="32"/>
          <w:highlight w:val="none"/>
          <w:lang w:val="en-US" w:eastAsia="zh-CN"/>
        </w:rPr>
        <w:t>152.02</w:t>
      </w:r>
      <w:r>
        <w:rPr>
          <w:rFonts w:hint="default" w:ascii="Times New Roman" w:hAnsi="Times New Roman" w:eastAsia="方正仿宋_GBK" w:cs="Times New Roman"/>
          <w:sz w:val="32"/>
        </w:rPr>
        <w:t>万元</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lang w:val="en-US" w:eastAsia="zh-CN"/>
        </w:rPr>
        <w:t>比2025年增加25.92万元，是正常的增人增资</w:t>
      </w:r>
      <w:r>
        <w:rPr>
          <w:rFonts w:hint="default" w:ascii="Times New Roman" w:hAnsi="Times New Roman" w:eastAsia="方正仿宋_GBK" w:cs="Times New Roman"/>
          <w:sz w:val="32"/>
        </w:rPr>
        <w:t>，</w:t>
      </w:r>
      <w:r>
        <w:rPr>
          <w:rFonts w:hint="default" w:ascii="Times New Roman" w:hAnsi="Times New Roman" w:eastAsia="方正仿宋_GBK" w:cs="Times New Roman"/>
          <w:color w:val="auto"/>
          <w:sz w:val="32"/>
          <w:lang w:eastAsia="zh-CN"/>
        </w:rPr>
        <w:t>主要用于保障我</w:t>
      </w:r>
      <w:r>
        <w:rPr>
          <w:rFonts w:hint="default" w:ascii="Times New Roman" w:hAnsi="Times New Roman" w:eastAsia="方正仿宋_GBK" w:cs="Times New Roman"/>
          <w:color w:val="auto"/>
          <w:sz w:val="32"/>
          <w:lang w:val="en-US" w:eastAsia="zh-CN"/>
        </w:rPr>
        <w:t>单位</w:t>
      </w:r>
      <w:r>
        <w:rPr>
          <w:rFonts w:hint="default" w:ascii="Times New Roman" w:hAnsi="Times New Roman" w:eastAsia="方正仿宋_GBK" w:cs="Times New Roman"/>
          <w:color w:val="auto"/>
          <w:sz w:val="32"/>
          <w:lang w:eastAsia="zh-CN"/>
        </w:rPr>
        <w:t>在职人员工资福利及社会保险缴费，离休人员离休费，退休人员补助等，保障部门正常运转的各项商品服务支出；无项目支出。</w:t>
      </w:r>
    </w:p>
    <w:p w14:paraId="522C02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202</w:t>
      </w:r>
      <w:r>
        <w:rPr>
          <w:rFonts w:hint="default" w:ascii="Times New Roman" w:hAnsi="Times New Roman" w:eastAsia="方正仿宋_GBK" w:cs="Times New Roman"/>
          <w:sz w:val="32"/>
          <w:lang w:val="en-US" w:eastAsia="zh-CN"/>
        </w:rPr>
        <w:t>6</w:t>
      </w:r>
      <w:r>
        <w:rPr>
          <w:rFonts w:hint="default" w:ascii="Times New Roman" w:hAnsi="Times New Roman" w:eastAsia="方正仿宋_GBK" w:cs="Times New Roman"/>
          <w:sz w:val="32"/>
          <w:lang w:eastAsia="zh-CN"/>
        </w:rPr>
        <w:t>年无政府性基金预算收支。</w:t>
      </w:r>
    </w:p>
    <w:p w14:paraId="18D40D3F">
      <w:pPr>
        <w:spacing w:line="594" w:lineRule="exact"/>
        <w:ind w:firstLine="640" w:firstLineChars="200"/>
        <w:rPr>
          <w:rFonts w:hint="default" w:ascii="Times New Roman" w:hAnsi="Times New Roman" w:eastAsia="方正仿宋_GBK" w:cs="Times New Roman"/>
          <w:sz w:val="32"/>
        </w:rPr>
      </w:pPr>
      <w:r>
        <w:rPr>
          <w:rFonts w:hint="default" w:ascii="Times New Roman" w:hAnsi="Times New Roman" w:eastAsia="方正黑体_GBK" w:cs="Times New Roman"/>
          <w:sz w:val="32"/>
        </w:rPr>
        <w:t>四、“三公”经费情况说明</w:t>
      </w:r>
    </w:p>
    <w:p w14:paraId="43BE8761">
      <w:pPr>
        <w:spacing w:line="594" w:lineRule="exact"/>
        <w:ind w:firstLine="640"/>
        <w:rPr>
          <w:rFonts w:hint="default" w:ascii="Times New Roman" w:hAnsi="Times New Roman" w:eastAsia="方正仿宋_GBK" w:cs="Times New Roman"/>
          <w:sz w:val="32"/>
        </w:rPr>
      </w:pPr>
      <w:r>
        <w:rPr>
          <w:rFonts w:hint="default" w:ascii="Times New Roman" w:hAnsi="Times New Roman" w:eastAsia="方正仿宋_GBK" w:cs="Times New Roman"/>
          <w:sz w:val="32"/>
        </w:rPr>
        <w:t>202</w:t>
      </w:r>
      <w:r>
        <w:rPr>
          <w:rFonts w:hint="default" w:ascii="Times New Roman" w:hAnsi="Times New Roman" w:eastAsia="方正仿宋_GBK" w:cs="Times New Roman"/>
          <w:sz w:val="32"/>
          <w:lang w:val="en-US" w:eastAsia="zh-CN"/>
        </w:rPr>
        <w:t>6</w:t>
      </w:r>
      <w:r>
        <w:rPr>
          <w:rFonts w:hint="default" w:ascii="Times New Roman" w:hAnsi="Times New Roman" w:eastAsia="方正仿宋_GBK" w:cs="Times New Roman"/>
          <w:sz w:val="32"/>
        </w:rPr>
        <w:t>年“三公”经费预算0万元，比202</w:t>
      </w:r>
      <w:r>
        <w:rPr>
          <w:rFonts w:hint="default" w:ascii="Times New Roman" w:hAnsi="Times New Roman" w:eastAsia="方正仿宋_GBK" w:cs="Times New Roman"/>
          <w:sz w:val="32"/>
          <w:lang w:val="en-US" w:eastAsia="zh-CN"/>
        </w:rPr>
        <w:t>5</w:t>
      </w:r>
      <w:r>
        <w:rPr>
          <w:rFonts w:hint="default" w:ascii="Times New Roman" w:hAnsi="Times New Roman" w:eastAsia="方正仿宋_GBK" w:cs="Times New Roman"/>
          <w:sz w:val="32"/>
        </w:rPr>
        <w:t>年减少0万元。其中：因公出国（境）费用0万元，比202</w:t>
      </w:r>
      <w:r>
        <w:rPr>
          <w:rFonts w:hint="default" w:ascii="Times New Roman" w:hAnsi="Times New Roman" w:eastAsia="方正仿宋_GBK" w:cs="Times New Roman"/>
          <w:sz w:val="32"/>
          <w:lang w:val="en-US" w:eastAsia="zh-CN"/>
        </w:rPr>
        <w:t>5</w:t>
      </w:r>
      <w:r>
        <w:rPr>
          <w:rFonts w:hint="default" w:ascii="Times New Roman" w:hAnsi="Times New Roman" w:eastAsia="方正仿宋_GBK" w:cs="Times New Roman"/>
          <w:sz w:val="32"/>
        </w:rPr>
        <w:t>年减少0万元；公务接待费0万元，比202</w:t>
      </w:r>
      <w:r>
        <w:rPr>
          <w:rFonts w:hint="default" w:ascii="Times New Roman" w:hAnsi="Times New Roman" w:eastAsia="方正仿宋_GBK" w:cs="Times New Roman"/>
          <w:sz w:val="32"/>
          <w:lang w:val="en-US" w:eastAsia="zh-CN"/>
        </w:rPr>
        <w:t>5</w:t>
      </w:r>
      <w:r>
        <w:rPr>
          <w:rFonts w:hint="default" w:ascii="Times New Roman" w:hAnsi="Times New Roman" w:eastAsia="方正仿宋_GBK" w:cs="Times New Roman"/>
          <w:sz w:val="32"/>
        </w:rPr>
        <w:t>年减少0万元；公务用车运行维护费0万元，比202</w:t>
      </w:r>
      <w:r>
        <w:rPr>
          <w:rFonts w:hint="default" w:ascii="Times New Roman" w:hAnsi="Times New Roman" w:eastAsia="方正仿宋_GBK" w:cs="Times New Roman"/>
          <w:sz w:val="32"/>
          <w:lang w:val="en-US" w:eastAsia="zh-CN"/>
        </w:rPr>
        <w:t>5</w:t>
      </w:r>
      <w:r>
        <w:rPr>
          <w:rFonts w:hint="default" w:ascii="Times New Roman" w:hAnsi="Times New Roman" w:eastAsia="方正仿宋_GBK" w:cs="Times New Roman"/>
          <w:sz w:val="32"/>
        </w:rPr>
        <w:t>年减少0万元；公务用车购置费0万元，比202</w:t>
      </w:r>
      <w:r>
        <w:rPr>
          <w:rFonts w:hint="default" w:ascii="Times New Roman" w:hAnsi="Times New Roman" w:eastAsia="方正仿宋_GBK" w:cs="Times New Roman"/>
          <w:sz w:val="32"/>
          <w:lang w:val="en-US" w:eastAsia="zh-CN"/>
        </w:rPr>
        <w:t>5</w:t>
      </w:r>
      <w:r>
        <w:rPr>
          <w:rFonts w:hint="default" w:ascii="Times New Roman" w:hAnsi="Times New Roman" w:eastAsia="方正仿宋_GBK" w:cs="Times New Roman"/>
          <w:sz w:val="32"/>
        </w:rPr>
        <w:t>年减少0万元。</w:t>
      </w:r>
    </w:p>
    <w:p w14:paraId="2CE90349">
      <w:pPr>
        <w:spacing w:line="594" w:lineRule="exact"/>
        <w:ind w:firstLine="640" w:firstLineChars="200"/>
        <w:rPr>
          <w:rFonts w:hint="default" w:ascii="Times New Roman" w:hAnsi="Times New Roman" w:eastAsia="方正黑体_GBK" w:cs="Times New Roman"/>
          <w:sz w:val="32"/>
        </w:rPr>
      </w:pPr>
      <w:r>
        <w:rPr>
          <w:rFonts w:hint="default" w:ascii="Times New Roman" w:hAnsi="Times New Roman" w:eastAsia="方正黑体_GBK" w:cs="Times New Roman"/>
          <w:sz w:val="32"/>
        </w:rPr>
        <w:t>五、其他重要事项的情况说明</w:t>
      </w:r>
    </w:p>
    <w:p w14:paraId="756A7028">
      <w:pPr>
        <w:spacing w:line="594" w:lineRule="exact"/>
        <w:ind w:left="638" w:leftChars="304" w:firstLine="0" w:firstLineChars="0"/>
        <w:rPr>
          <w:rFonts w:hint="default" w:ascii="Times New Roman" w:hAnsi="Times New Roman" w:eastAsia="方正仿宋_GBK" w:cs="Times New Roman"/>
          <w:sz w:val="32"/>
          <w:lang w:eastAsia="zh-CN"/>
        </w:rPr>
      </w:pPr>
      <w:r>
        <w:rPr>
          <w:rFonts w:hint="default" w:ascii="Times New Roman" w:hAnsi="Times New Roman" w:eastAsia="方正仿宋_GBK" w:cs="Times New Roman"/>
          <w:b/>
          <w:bCs/>
          <w:sz w:val="32"/>
        </w:rPr>
        <w:t>1.机关运行经费。</w:t>
      </w:r>
      <w:r>
        <w:rPr>
          <w:rFonts w:hint="default" w:ascii="Times New Roman" w:hAnsi="Times New Roman" w:eastAsia="方正仿宋_GBK" w:cs="Times New Roman"/>
          <w:sz w:val="32"/>
        </w:rPr>
        <w:t>我</w:t>
      </w:r>
      <w:r>
        <w:rPr>
          <w:rFonts w:hint="default" w:ascii="Times New Roman" w:hAnsi="Times New Roman" w:eastAsia="方正仿宋_GBK" w:cs="Times New Roman"/>
          <w:sz w:val="32"/>
          <w:lang w:eastAsia="zh-CN"/>
        </w:rPr>
        <w:t>单位不在机关运行经费统计范围之内。</w:t>
      </w:r>
      <w:r>
        <w:rPr>
          <w:rFonts w:hint="default" w:ascii="Times New Roman" w:hAnsi="Times New Roman" w:eastAsia="方正仿宋_GBK" w:cs="Times New Roman"/>
          <w:b/>
          <w:sz w:val="32"/>
        </w:rPr>
        <w:t>2.政府采购情况。</w:t>
      </w:r>
      <w:r>
        <w:rPr>
          <w:rFonts w:hint="default" w:ascii="Times New Roman" w:hAnsi="Times New Roman" w:eastAsia="方正仿宋_GBK" w:cs="Times New Roman"/>
          <w:sz w:val="32"/>
          <w:lang w:eastAsia="zh-CN"/>
        </w:rPr>
        <w:t>无政府采购预算。</w:t>
      </w:r>
    </w:p>
    <w:p w14:paraId="4981E6C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b/>
          <w:sz w:val="32"/>
        </w:rPr>
        <w:t>3.绩效目标设置情况。</w:t>
      </w:r>
      <w:r>
        <w:rPr>
          <w:rFonts w:hint="default" w:ascii="Times New Roman" w:hAnsi="Times New Roman" w:eastAsia="方正仿宋_GBK" w:cs="Times New Roman"/>
          <w:sz w:val="32"/>
          <w:lang w:eastAsia="zh-CN"/>
        </w:rPr>
        <w:t>202</w:t>
      </w:r>
      <w:r>
        <w:rPr>
          <w:rFonts w:hint="default" w:ascii="Times New Roman" w:hAnsi="Times New Roman" w:eastAsia="方正仿宋_GBK" w:cs="Times New Roman"/>
          <w:sz w:val="32"/>
          <w:lang w:val="en-US" w:eastAsia="zh-CN"/>
        </w:rPr>
        <w:t>6</w:t>
      </w:r>
      <w:r>
        <w:rPr>
          <w:rFonts w:hint="default" w:ascii="Times New Roman" w:hAnsi="Times New Roman" w:eastAsia="方正仿宋_GBK" w:cs="Times New Roman"/>
          <w:sz w:val="32"/>
          <w:lang w:eastAsia="zh-CN"/>
        </w:rPr>
        <w:t>年无项目支出，不涉及一般公共预算当年财政拨款。</w:t>
      </w:r>
    </w:p>
    <w:p w14:paraId="174CC628">
      <w:pPr>
        <w:spacing w:line="594" w:lineRule="exact"/>
        <w:ind w:firstLine="643" w:firstLineChars="200"/>
        <w:rPr>
          <w:rFonts w:hint="default" w:ascii="Times New Roman" w:hAnsi="Times New Roman" w:eastAsia="方正仿宋_GBK" w:cs="Times New Roman"/>
          <w:color w:val="000000"/>
          <w:sz w:val="32"/>
        </w:rPr>
      </w:pPr>
      <w:r>
        <w:rPr>
          <w:rFonts w:hint="default" w:ascii="Times New Roman" w:hAnsi="Times New Roman" w:eastAsia="方正仿宋_GBK" w:cs="Times New Roman"/>
          <w:b/>
          <w:color w:val="000000"/>
          <w:sz w:val="32"/>
        </w:rPr>
        <w:t>4.国有资产占有使用情况。</w:t>
      </w:r>
      <w:r>
        <w:rPr>
          <w:rFonts w:hint="default" w:ascii="Times New Roman" w:hAnsi="Times New Roman" w:eastAsia="方正仿宋_GBK" w:cs="Times New Roman"/>
          <w:color w:val="000000"/>
          <w:sz w:val="32"/>
        </w:rPr>
        <w:t>截止202</w:t>
      </w:r>
      <w:r>
        <w:rPr>
          <w:rFonts w:hint="default" w:ascii="Times New Roman" w:hAnsi="Times New Roman" w:eastAsia="方正仿宋_GBK" w:cs="Times New Roman"/>
          <w:color w:val="000000"/>
          <w:sz w:val="32"/>
          <w:lang w:val="en-US" w:eastAsia="zh-CN"/>
        </w:rPr>
        <w:t>5</w:t>
      </w:r>
      <w:r>
        <w:rPr>
          <w:rFonts w:hint="default" w:ascii="Times New Roman" w:hAnsi="Times New Roman" w:eastAsia="方正仿宋_GBK" w:cs="Times New Roman"/>
          <w:color w:val="000000"/>
          <w:sz w:val="32"/>
        </w:rPr>
        <w:t>年12月，所属各预算单位共有车辆</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辆，其中一般公务用车0辆、执勤执法用车0辆。202</w:t>
      </w:r>
      <w:r>
        <w:rPr>
          <w:rFonts w:hint="default" w:ascii="Times New Roman" w:hAnsi="Times New Roman" w:eastAsia="方正仿宋_GBK" w:cs="Times New Roman"/>
          <w:color w:val="000000"/>
          <w:sz w:val="32"/>
          <w:lang w:val="en-US" w:eastAsia="zh-CN"/>
        </w:rPr>
        <w:t>6</w:t>
      </w:r>
      <w:r>
        <w:rPr>
          <w:rFonts w:hint="default" w:ascii="Times New Roman" w:hAnsi="Times New Roman" w:eastAsia="方正仿宋_GBK" w:cs="Times New Roman"/>
          <w:color w:val="000000"/>
          <w:sz w:val="32"/>
        </w:rPr>
        <w:t>年一般公共预算安排购置车辆0辆，其中一般公务用车</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辆、执勤执法用车0辆。</w:t>
      </w:r>
    </w:p>
    <w:p w14:paraId="79E8BF3B">
      <w:pPr>
        <w:spacing w:line="594" w:lineRule="exact"/>
        <w:ind w:firstLine="640" w:firstLineChars="200"/>
        <w:rPr>
          <w:rFonts w:hint="default" w:ascii="Times New Roman" w:hAnsi="Times New Roman" w:eastAsia="方正黑体_GBK" w:cs="Times New Roman"/>
          <w:sz w:val="32"/>
        </w:rPr>
      </w:pPr>
      <w:r>
        <w:rPr>
          <w:rFonts w:hint="default" w:ascii="Times New Roman" w:hAnsi="Times New Roman" w:eastAsia="方正黑体_GBK" w:cs="Times New Roman"/>
          <w:sz w:val="32"/>
        </w:rPr>
        <w:t>六、专业性名词解释</w:t>
      </w:r>
    </w:p>
    <w:p w14:paraId="5FB869F7">
      <w:pPr>
        <w:spacing w:line="594" w:lineRule="exact"/>
        <w:ind w:firstLine="640" w:firstLineChars="200"/>
        <w:rPr>
          <w:rFonts w:hint="default" w:ascii="Times New Roman" w:hAnsi="Times New Roman" w:eastAsia="方正黑体_GBK" w:cs="Times New Roman"/>
          <w:sz w:val="32"/>
        </w:rPr>
      </w:pPr>
      <w:r>
        <w:rPr>
          <w:rFonts w:hint="default" w:ascii="Times New Roman" w:hAnsi="Times New Roman" w:eastAsia="方正楷体_GBK" w:cs="Times New Roman"/>
          <w:sz w:val="32"/>
          <w:szCs w:val="32"/>
        </w:rPr>
        <w:t>（一）财政拨款收入：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14:paraId="1D044407">
      <w:pPr>
        <w:pStyle w:val="11"/>
        <w:rPr>
          <w:rFonts w:hint="default" w:ascii="Times New Roman" w:hAnsi="Times New Roman" w:cs="Times New Roman"/>
        </w:rPr>
      </w:pPr>
      <w:r>
        <w:rPr>
          <w:rFonts w:hint="default" w:ascii="Times New Roman" w:hAnsi="Times New Roman" w:eastAsia="方正楷体_GBK" w:cs="Times New Roman"/>
        </w:rPr>
        <w:t>（二）其他收入：</w:t>
      </w:r>
      <w:r>
        <w:rPr>
          <w:rFonts w:hint="default" w:ascii="Times New Roman" w:hAnsi="Times New Roman" w:cs="Times New Roman"/>
        </w:rPr>
        <w:t>指单位取得的除“财政拨款收入”、“事业收入”、“经营收入”等以外的收入。</w:t>
      </w:r>
    </w:p>
    <w:p w14:paraId="4311192B">
      <w:pPr>
        <w:pStyle w:val="11"/>
        <w:rPr>
          <w:rFonts w:hint="default" w:ascii="Times New Roman" w:hAnsi="Times New Roman" w:cs="Times New Roman"/>
        </w:rPr>
      </w:pPr>
      <w:r>
        <w:rPr>
          <w:rFonts w:hint="default" w:ascii="Times New Roman" w:hAnsi="Times New Roman" w:eastAsia="方正楷体_GBK" w:cs="Times New Roman"/>
        </w:rPr>
        <w:t>（三）基本支出：</w:t>
      </w:r>
      <w:r>
        <w:rPr>
          <w:rFonts w:hint="default" w:ascii="Times New Roman" w:hAnsi="Times New Roman" w:cs="Times New Roman"/>
        </w:rPr>
        <w:t>指为保障机构正常运转、完成日常工作任务而发生的人员经费和公用经费。</w:t>
      </w:r>
    </w:p>
    <w:p w14:paraId="713D89BC">
      <w:pPr>
        <w:pStyle w:val="11"/>
        <w:rPr>
          <w:rFonts w:hint="default" w:ascii="Times New Roman" w:hAnsi="Times New Roman" w:cs="Times New Roman"/>
        </w:rPr>
      </w:pPr>
      <w:r>
        <w:rPr>
          <w:rFonts w:hint="default" w:ascii="Times New Roman" w:hAnsi="Times New Roman" w:eastAsia="方正楷体_GBK" w:cs="Times New Roman"/>
        </w:rPr>
        <w:t>（四）项目支出：</w:t>
      </w:r>
      <w:r>
        <w:rPr>
          <w:rFonts w:hint="default" w:ascii="Times New Roman" w:hAnsi="Times New Roman" w:cs="Times New Roman"/>
        </w:rPr>
        <w:t>指在基本支出之外为完成特定行政任务和事业发展目标所发生的支出。</w:t>
      </w:r>
    </w:p>
    <w:p w14:paraId="354C6B41">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（五）“三公”经费：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8F7B551">
      <w:pPr>
        <w:spacing w:line="600" w:lineRule="exact"/>
        <w:ind w:firstLine="880" w:firstLineChars="200"/>
        <w:rPr>
          <w:rFonts w:hint="default" w:ascii="Times New Roman" w:hAnsi="Times New Roman" w:eastAsia="方正小标宋_GBK" w:cs="Times New Roman"/>
          <w:sz w:val="44"/>
          <w:szCs w:val="44"/>
        </w:rPr>
      </w:pPr>
    </w:p>
    <w:p w14:paraId="0E3C606E">
      <w:pPr>
        <w:spacing w:line="600" w:lineRule="exact"/>
        <w:ind w:firstLine="880" w:firstLineChars="200"/>
        <w:rPr>
          <w:rFonts w:hint="default" w:ascii="Times New Roman" w:hAnsi="Times New Roman" w:eastAsia="方正小标宋_GBK" w:cs="Times New Roman"/>
          <w:sz w:val="44"/>
          <w:szCs w:val="44"/>
        </w:rPr>
      </w:pPr>
    </w:p>
    <w:p w14:paraId="4E6EEFED">
      <w:pPr>
        <w:spacing w:line="600" w:lineRule="exact"/>
        <w:ind w:firstLine="880" w:firstLineChars="200"/>
        <w:rPr>
          <w:rFonts w:hint="default" w:ascii="Times New Roman" w:hAnsi="Times New Roman" w:eastAsia="方正小标宋_GBK" w:cs="Times New Roman"/>
          <w:sz w:val="44"/>
          <w:szCs w:val="44"/>
        </w:rPr>
      </w:pPr>
    </w:p>
    <w:p w14:paraId="4AC20CBD">
      <w:pPr>
        <w:spacing w:line="600" w:lineRule="exact"/>
        <w:ind w:firstLine="880" w:firstLineChars="200"/>
        <w:rPr>
          <w:rFonts w:hint="default" w:ascii="Times New Roman" w:hAnsi="Times New Roman" w:eastAsia="方正小标宋_GBK" w:cs="Times New Roman"/>
          <w:sz w:val="44"/>
          <w:szCs w:val="44"/>
        </w:rPr>
      </w:pPr>
    </w:p>
    <w:p w14:paraId="0BF39EAD">
      <w:pPr>
        <w:spacing w:line="600" w:lineRule="exact"/>
        <w:ind w:firstLine="880" w:firstLineChars="200"/>
        <w:rPr>
          <w:rFonts w:hint="default" w:ascii="Times New Roman" w:hAnsi="Times New Roman" w:eastAsia="方正小标宋_GBK" w:cs="Times New Roman"/>
          <w:sz w:val="44"/>
          <w:szCs w:val="44"/>
        </w:rPr>
      </w:pPr>
    </w:p>
    <w:p w14:paraId="7C131B42">
      <w:pPr>
        <w:spacing w:line="600" w:lineRule="exact"/>
        <w:ind w:firstLine="880" w:firstLineChars="200"/>
        <w:rPr>
          <w:rFonts w:hint="default" w:ascii="Times New Roman" w:hAnsi="Times New Roman" w:eastAsia="方正小标宋_GBK" w:cs="Times New Roman"/>
          <w:sz w:val="44"/>
          <w:szCs w:val="44"/>
        </w:rPr>
      </w:pPr>
    </w:p>
    <w:p w14:paraId="2238937D">
      <w:pPr>
        <w:spacing w:line="600" w:lineRule="exact"/>
        <w:ind w:firstLine="880" w:firstLineChars="200"/>
        <w:rPr>
          <w:rFonts w:hint="default" w:ascii="Times New Roman" w:hAnsi="Times New Roman" w:eastAsia="方正小标宋_GBK" w:cs="Times New Roman"/>
          <w:sz w:val="44"/>
          <w:szCs w:val="44"/>
        </w:rPr>
      </w:pPr>
    </w:p>
    <w:p w14:paraId="0DF0F8B0">
      <w:pPr>
        <w:spacing w:line="600" w:lineRule="exact"/>
        <w:ind w:firstLine="880" w:firstLineChars="200"/>
        <w:rPr>
          <w:rFonts w:hint="default" w:ascii="Times New Roman" w:hAnsi="Times New Roman" w:eastAsia="方正小标宋_GBK" w:cs="Times New Roman"/>
          <w:sz w:val="44"/>
          <w:szCs w:val="44"/>
        </w:rPr>
      </w:pPr>
    </w:p>
    <w:p w14:paraId="23B338E4">
      <w:pPr>
        <w:spacing w:line="600" w:lineRule="exact"/>
        <w:ind w:firstLine="880" w:firstLineChars="200"/>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第二部分：202</w:t>
      </w:r>
      <w:r>
        <w:rPr>
          <w:rFonts w:hint="default"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rPr>
        <w:t>年部门预算公开报表</w:t>
      </w:r>
    </w:p>
    <w:p w14:paraId="37EA6852">
      <w:pPr>
        <w:ind w:firstLine="640" w:firstLineChars="200"/>
        <w:rPr>
          <w:rFonts w:hint="default" w:ascii="Times New Roman" w:hAnsi="Times New Roman" w:eastAsia="方正黑体_GBK" w:cs="Times New Roman"/>
          <w:sz w:val="32"/>
        </w:rPr>
      </w:pPr>
    </w:p>
    <w:p w14:paraId="0AA93AE0">
      <w:pPr>
        <w:ind w:firstLine="640" w:firstLineChars="200"/>
        <w:rPr>
          <w:rFonts w:hint="default" w:ascii="Times New Roman" w:hAnsi="Times New Roman" w:eastAsia="方正黑体_GBK" w:cs="Times New Roman"/>
          <w:sz w:val="32"/>
        </w:rPr>
      </w:pPr>
      <w:r>
        <w:rPr>
          <w:rFonts w:hint="default" w:ascii="Times New Roman" w:hAnsi="Times New Roman" w:eastAsia="方正黑体_GBK" w:cs="Times New Roman"/>
          <w:sz w:val="32"/>
        </w:rPr>
        <w:t>202</w:t>
      </w:r>
      <w:r>
        <w:rPr>
          <w:rFonts w:hint="default" w:ascii="Times New Roman" w:hAnsi="Times New Roman" w:eastAsia="方正黑体_GBK" w:cs="Times New Roman"/>
          <w:sz w:val="32"/>
          <w:lang w:val="en-US" w:eastAsia="zh-CN"/>
        </w:rPr>
        <w:t>6</w:t>
      </w:r>
      <w:r>
        <w:rPr>
          <w:rFonts w:hint="default" w:ascii="Times New Roman" w:hAnsi="Times New Roman" w:eastAsia="方正黑体_GBK" w:cs="Times New Roman"/>
          <w:sz w:val="32"/>
        </w:rPr>
        <w:t>年部门预算公开报表（详见附表重庆市开州区国有资产服务中心202</w:t>
      </w:r>
      <w:r>
        <w:rPr>
          <w:rFonts w:hint="default" w:ascii="Times New Roman" w:hAnsi="Times New Roman" w:eastAsia="方正黑体_GBK" w:cs="Times New Roman"/>
          <w:sz w:val="32"/>
          <w:lang w:val="en-US" w:eastAsia="zh-CN"/>
        </w:rPr>
        <w:t>6</w:t>
      </w:r>
      <w:r>
        <w:rPr>
          <w:rFonts w:hint="default" w:ascii="Times New Roman" w:hAnsi="Times New Roman" w:eastAsia="方正黑体_GBK" w:cs="Times New Roman"/>
          <w:sz w:val="32"/>
        </w:rPr>
        <w:t>年部门预算公开报表）</w:t>
      </w:r>
    </w:p>
    <w:p w14:paraId="4A8FDDAB">
      <w:pPr>
        <w:ind w:firstLine="643" w:firstLineChars="200"/>
        <w:rPr>
          <w:rFonts w:hint="default" w:ascii="Times New Roman" w:hAnsi="Times New Roman" w:eastAsia="方正仿宋_GBK" w:cs="Times New Roman"/>
          <w:sz w:val="32"/>
        </w:rPr>
      </w:pPr>
      <w:r>
        <w:rPr>
          <w:rFonts w:hint="default" w:ascii="Times New Roman" w:hAnsi="Times New Roman" w:eastAsia="方正仿宋_GBK" w:cs="Times New Roman"/>
          <w:b/>
          <w:sz w:val="32"/>
        </w:rPr>
        <w:t>部门预算公开联系人：</w:t>
      </w:r>
      <w:r>
        <w:rPr>
          <w:rFonts w:hint="default" w:ascii="Times New Roman" w:hAnsi="Times New Roman" w:eastAsia="方正仿宋_GBK" w:cs="Times New Roman"/>
          <w:sz w:val="32"/>
        </w:rPr>
        <w:t>赵文锟</w:t>
      </w:r>
      <w:r>
        <w:rPr>
          <w:rFonts w:hint="default" w:ascii="Times New Roman" w:hAnsi="Times New Roman" w:eastAsia="方正仿宋_GBK" w:cs="Times New Roman"/>
          <w:b/>
          <w:sz w:val="32"/>
        </w:rPr>
        <w:t xml:space="preserve">    联系方式：</w:t>
      </w:r>
      <w:r>
        <w:rPr>
          <w:rFonts w:hint="default" w:ascii="Times New Roman" w:hAnsi="Times New Roman" w:eastAsia="方正仿宋_GBK" w:cs="Times New Roman"/>
          <w:sz w:val="32"/>
        </w:rPr>
        <w:t>023-52663313</w:t>
      </w:r>
    </w:p>
    <w:p w14:paraId="6B6713BB">
      <w:pPr>
        <w:spacing w:line="540" w:lineRule="exact"/>
        <w:ind w:firstLine="880"/>
        <w:jc w:val="center"/>
        <w:rPr>
          <w:rFonts w:hint="default" w:ascii="Times New Roman" w:hAnsi="Times New Roman" w:eastAsia="方正小标宋_GBK" w:cs="Times New Roman"/>
          <w:sz w:val="44"/>
          <w:szCs w:val="44"/>
        </w:rPr>
      </w:pPr>
    </w:p>
    <w:p w14:paraId="6E1055EF">
      <w:pPr>
        <w:spacing w:line="540" w:lineRule="exact"/>
        <w:ind w:firstLine="880"/>
        <w:jc w:val="center"/>
        <w:rPr>
          <w:rFonts w:hint="default" w:ascii="Times New Roman" w:hAnsi="Times New Roman" w:eastAsia="方正小标宋_GBK" w:cs="Times New Roman"/>
          <w:sz w:val="44"/>
          <w:szCs w:val="44"/>
        </w:rPr>
      </w:pPr>
    </w:p>
    <w:p w14:paraId="02DEE0DB">
      <w:pPr>
        <w:spacing w:line="540" w:lineRule="exact"/>
        <w:ind w:firstLine="880"/>
        <w:jc w:val="center"/>
        <w:rPr>
          <w:rFonts w:hint="default" w:ascii="Times New Roman" w:hAnsi="Times New Roman" w:eastAsia="方正小标宋_GBK" w:cs="Times New Roman"/>
          <w:sz w:val="44"/>
          <w:szCs w:val="44"/>
        </w:rPr>
      </w:pPr>
    </w:p>
    <w:p w14:paraId="06B8A979">
      <w:pPr>
        <w:spacing w:line="540" w:lineRule="exact"/>
        <w:ind w:firstLine="880"/>
        <w:jc w:val="center"/>
        <w:rPr>
          <w:rFonts w:hint="default" w:ascii="Times New Roman" w:hAnsi="Times New Roman" w:eastAsia="方正小标宋_GBK" w:cs="Times New Roman"/>
          <w:sz w:val="44"/>
          <w:szCs w:val="44"/>
        </w:rPr>
      </w:pPr>
    </w:p>
    <w:p w14:paraId="17BA3C55">
      <w:pPr>
        <w:spacing w:line="540" w:lineRule="exact"/>
        <w:ind w:firstLine="880"/>
        <w:jc w:val="center"/>
        <w:rPr>
          <w:rFonts w:hint="default" w:ascii="Times New Roman" w:hAnsi="Times New Roman" w:eastAsia="方正小标宋_GBK" w:cs="Times New Roman"/>
          <w:sz w:val="44"/>
          <w:szCs w:val="44"/>
        </w:rPr>
      </w:pPr>
    </w:p>
    <w:p w14:paraId="2ADFC262">
      <w:pPr>
        <w:spacing w:line="594" w:lineRule="exact"/>
        <w:ind w:firstLine="3040" w:firstLineChars="95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重庆市开州区国有资产监督管理委员会</w:t>
      </w:r>
    </w:p>
    <w:p w14:paraId="4FD49FBA">
      <w:pPr>
        <w:spacing w:line="594" w:lineRule="exact"/>
        <w:ind w:firstLine="4960" w:firstLineChars="1550"/>
        <w:rPr>
          <w:rFonts w:hint="default" w:ascii="Times New Roman" w:hAnsi="Times New Roman" w:eastAsia="方正仿宋_GBK" w:cs="Times New Roman"/>
          <w:sz w:val="32"/>
          <w:szCs w:val="32"/>
          <w:highlight w:val="yellow"/>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highlight w:val="none"/>
        </w:rPr>
        <w:t>3月</w:t>
      </w:r>
      <w:r>
        <w:rPr>
          <w:rFonts w:hint="eastAsia" w:ascii="Times New Roman" w:hAnsi="Times New Roman" w:eastAsia="方正仿宋_GBK" w:cs="Times New Roman"/>
          <w:sz w:val="32"/>
          <w:szCs w:val="32"/>
          <w:highlight w:val="none"/>
          <w:lang w:val="en-US" w:eastAsia="zh-CN"/>
        </w:rPr>
        <w:t>11</w:t>
      </w:r>
      <w:r>
        <w:rPr>
          <w:rFonts w:hint="default" w:ascii="Times New Roman" w:hAnsi="Times New Roman" w:eastAsia="方正仿宋_GBK" w:cs="Times New Roman"/>
          <w:sz w:val="32"/>
          <w:szCs w:val="32"/>
          <w:highlight w:val="none"/>
        </w:rPr>
        <w:t>日</w:t>
      </w:r>
    </w:p>
    <w:p w14:paraId="7613CE34">
      <w:pPr>
        <w:pStyle w:val="7"/>
        <w:ind w:firstLine="0" w:firstLineChars="0"/>
        <w:rPr>
          <w:rFonts w:hint="default" w:ascii="Times New Roman" w:hAnsi="Times New Roman" w:cs="Times New Roman"/>
        </w:rPr>
      </w:pPr>
    </w:p>
    <w:p w14:paraId="1BE4D0CB">
      <w:pPr>
        <w:pStyle w:val="7"/>
        <w:ind w:firstLine="0" w:firstLineChars="0"/>
        <w:rPr>
          <w:rFonts w:hint="default" w:ascii="Times New Roman" w:hAnsi="Times New Roman" w:cs="Times New Roman"/>
        </w:rPr>
      </w:pPr>
    </w:p>
    <w:p w14:paraId="4604E72A">
      <w:pPr>
        <w:pStyle w:val="7"/>
        <w:ind w:firstLine="0" w:firstLineChars="0"/>
        <w:rPr>
          <w:rFonts w:hint="default" w:ascii="Times New Roman" w:hAnsi="Times New Roman" w:cs="Times New Roman"/>
        </w:rPr>
      </w:pPr>
    </w:p>
    <w:p w14:paraId="52BC8FE3">
      <w:pPr>
        <w:pStyle w:val="7"/>
        <w:ind w:firstLine="0" w:firstLineChars="0"/>
        <w:rPr>
          <w:rFonts w:hint="default" w:ascii="Times New Roman" w:hAnsi="Times New Roman" w:cs="Times New Roman"/>
        </w:rPr>
      </w:pPr>
    </w:p>
    <w:p w14:paraId="1C9AE855">
      <w:pPr>
        <w:pStyle w:val="7"/>
        <w:keepNext w:val="0"/>
        <w:keepLines w:val="0"/>
        <w:pageBreakBefore w:val="0"/>
        <w:widowControl w:val="0"/>
        <w:kinsoku/>
        <w:wordWrap/>
        <w:overflowPunct/>
        <w:topLinePunct w:val="0"/>
        <w:autoSpaceDE/>
        <w:autoSpaceDN/>
        <w:bidi w:val="0"/>
        <w:adjustRightInd/>
        <w:snapToGrid/>
        <w:spacing w:line="60" w:lineRule="exact"/>
        <w:ind w:firstLine="0" w:firstLineChars="0"/>
        <w:textAlignment w:val="auto"/>
        <w:rPr>
          <w:rFonts w:hint="default" w:ascii="Times New Roman" w:hAnsi="Times New Roman" w:cs="Times New Roman"/>
        </w:rPr>
      </w:pPr>
    </w:p>
    <w:p w14:paraId="491209AF">
      <w:pPr>
        <w:pStyle w:val="7"/>
        <w:keepNext w:val="0"/>
        <w:keepLines w:val="0"/>
        <w:pageBreakBefore w:val="0"/>
        <w:widowControl w:val="0"/>
        <w:kinsoku/>
        <w:wordWrap/>
        <w:overflowPunct/>
        <w:topLinePunct w:val="0"/>
        <w:autoSpaceDE/>
        <w:autoSpaceDN/>
        <w:bidi w:val="0"/>
        <w:adjustRightInd/>
        <w:snapToGrid/>
        <w:spacing w:line="60" w:lineRule="exact"/>
        <w:ind w:firstLine="0" w:firstLineChars="0"/>
        <w:textAlignment w:val="auto"/>
        <w:rPr>
          <w:rFonts w:hint="default" w:ascii="Times New Roman" w:hAnsi="Times New Roman" w:cs="Times New Roman"/>
        </w:rPr>
      </w:pPr>
    </w:p>
    <w:p w14:paraId="5B6497B8">
      <w:pPr>
        <w:pStyle w:val="7"/>
        <w:keepNext w:val="0"/>
        <w:keepLines w:val="0"/>
        <w:pageBreakBefore w:val="0"/>
        <w:widowControl w:val="0"/>
        <w:kinsoku/>
        <w:wordWrap/>
        <w:overflowPunct/>
        <w:topLinePunct w:val="0"/>
        <w:autoSpaceDE/>
        <w:autoSpaceDN/>
        <w:bidi w:val="0"/>
        <w:adjustRightInd/>
        <w:snapToGrid/>
        <w:spacing w:line="60" w:lineRule="exact"/>
        <w:ind w:firstLine="0" w:firstLineChars="0"/>
        <w:textAlignment w:val="auto"/>
        <w:rPr>
          <w:rFonts w:hint="default" w:ascii="Times New Roman" w:hAnsi="Times New Roman" w:cs="Times New Roman"/>
        </w:rPr>
      </w:pPr>
    </w:p>
    <w:p w14:paraId="36D3FCF9">
      <w:pPr>
        <w:pStyle w:val="7"/>
        <w:keepNext w:val="0"/>
        <w:keepLines w:val="0"/>
        <w:pageBreakBefore w:val="0"/>
        <w:widowControl w:val="0"/>
        <w:kinsoku/>
        <w:wordWrap/>
        <w:overflowPunct/>
        <w:topLinePunct w:val="0"/>
        <w:autoSpaceDE/>
        <w:autoSpaceDN/>
        <w:bidi w:val="0"/>
        <w:adjustRightInd/>
        <w:snapToGrid/>
        <w:spacing w:line="60" w:lineRule="exact"/>
        <w:ind w:firstLine="0" w:firstLineChars="0"/>
        <w:textAlignment w:val="auto"/>
        <w:rPr>
          <w:rFonts w:hint="default" w:ascii="Times New Roman" w:hAnsi="Times New Roman" w:cs="Times New Roman"/>
        </w:rPr>
      </w:pPr>
    </w:p>
    <w:p w14:paraId="28551D9E">
      <w:pPr>
        <w:pStyle w:val="7"/>
        <w:keepNext w:val="0"/>
        <w:keepLines w:val="0"/>
        <w:pageBreakBefore w:val="0"/>
        <w:widowControl w:val="0"/>
        <w:kinsoku/>
        <w:wordWrap/>
        <w:overflowPunct/>
        <w:topLinePunct w:val="0"/>
        <w:autoSpaceDE/>
        <w:autoSpaceDN/>
        <w:bidi w:val="0"/>
        <w:adjustRightInd/>
        <w:snapToGrid/>
        <w:spacing w:line="60" w:lineRule="exact"/>
        <w:ind w:firstLine="0" w:firstLineChars="0"/>
        <w:textAlignment w:val="auto"/>
        <w:rPr>
          <w:rFonts w:hint="default" w:ascii="Times New Roman" w:hAnsi="Times New Roman" w:cs="Times New Roman"/>
        </w:rPr>
      </w:pPr>
    </w:p>
    <w:p w14:paraId="5DB9A006">
      <w:pPr>
        <w:pStyle w:val="7"/>
        <w:keepNext w:val="0"/>
        <w:keepLines w:val="0"/>
        <w:pageBreakBefore w:val="0"/>
        <w:widowControl w:val="0"/>
        <w:kinsoku/>
        <w:wordWrap/>
        <w:overflowPunct/>
        <w:topLinePunct w:val="0"/>
        <w:autoSpaceDE/>
        <w:autoSpaceDN/>
        <w:bidi w:val="0"/>
        <w:adjustRightInd/>
        <w:snapToGrid/>
        <w:spacing w:line="60" w:lineRule="exact"/>
        <w:ind w:firstLine="0" w:firstLineChars="0"/>
        <w:textAlignment w:val="auto"/>
        <w:rPr>
          <w:rFonts w:hint="default" w:ascii="Times New Roman" w:hAnsi="Times New Roman" w:cs="Times New Roman"/>
        </w:rPr>
      </w:pPr>
    </w:p>
    <w:p w14:paraId="7908F3E8">
      <w:pPr>
        <w:pStyle w:val="7"/>
        <w:keepNext w:val="0"/>
        <w:keepLines w:val="0"/>
        <w:pageBreakBefore w:val="0"/>
        <w:widowControl w:val="0"/>
        <w:kinsoku/>
        <w:wordWrap/>
        <w:overflowPunct/>
        <w:topLinePunct w:val="0"/>
        <w:autoSpaceDE/>
        <w:autoSpaceDN/>
        <w:bidi w:val="0"/>
        <w:adjustRightInd/>
        <w:snapToGrid/>
        <w:spacing w:line="60" w:lineRule="exact"/>
        <w:ind w:firstLine="0" w:firstLineChars="0"/>
        <w:textAlignment w:val="auto"/>
        <w:rPr>
          <w:rFonts w:hint="default" w:ascii="Times New Roman" w:hAnsi="Times New Roman" w:cs="Times New Roman"/>
        </w:rPr>
      </w:pPr>
    </w:p>
    <w:p w14:paraId="3CE198E3">
      <w:pPr>
        <w:pStyle w:val="7"/>
        <w:keepNext w:val="0"/>
        <w:keepLines w:val="0"/>
        <w:pageBreakBefore w:val="0"/>
        <w:widowControl w:val="0"/>
        <w:kinsoku/>
        <w:wordWrap/>
        <w:overflowPunct/>
        <w:topLinePunct w:val="0"/>
        <w:autoSpaceDE/>
        <w:autoSpaceDN/>
        <w:bidi w:val="0"/>
        <w:adjustRightInd/>
        <w:snapToGrid/>
        <w:spacing w:line="60" w:lineRule="exact"/>
        <w:ind w:firstLine="0" w:firstLineChars="0"/>
        <w:textAlignment w:val="auto"/>
        <w:rPr>
          <w:rFonts w:hint="default" w:ascii="Times New Roman" w:hAnsi="Times New Roman" w:cs="Times New Roman"/>
        </w:rPr>
      </w:pPr>
    </w:p>
    <w:p w14:paraId="4954B691">
      <w:pPr>
        <w:pStyle w:val="7"/>
        <w:keepNext w:val="0"/>
        <w:keepLines w:val="0"/>
        <w:pageBreakBefore w:val="0"/>
        <w:widowControl w:val="0"/>
        <w:kinsoku/>
        <w:wordWrap/>
        <w:overflowPunct/>
        <w:topLinePunct w:val="0"/>
        <w:autoSpaceDE/>
        <w:autoSpaceDN/>
        <w:bidi w:val="0"/>
        <w:adjustRightInd/>
        <w:snapToGrid/>
        <w:spacing w:line="60" w:lineRule="exact"/>
        <w:ind w:firstLine="0" w:firstLineChars="0"/>
        <w:textAlignment w:val="auto"/>
        <w:rPr>
          <w:rFonts w:hint="default" w:ascii="Times New Roman" w:hAnsi="Times New Roman" w:cs="Times New Roman"/>
        </w:rPr>
      </w:pPr>
    </w:p>
    <w:p w14:paraId="5DC2F4CD">
      <w:pPr>
        <w:pStyle w:val="7"/>
        <w:keepNext w:val="0"/>
        <w:keepLines w:val="0"/>
        <w:pageBreakBefore w:val="0"/>
        <w:widowControl w:val="0"/>
        <w:kinsoku/>
        <w:wordWrap/>
        <w:overflowPunct/>
        <w:topLinePunct w:val="0"/>
        <w:autoSpaceDE/>
        <w:autoSpaceDN/>
        <w:bidi w:val="0"/>
        <w:adjustRightInd/>
        <w:snapToGrid/>
        <w:spacing w:line="60" w:lineRule="exact"/>
        <w:ind w:firstLine="0" w:firstLineChars="0"/>
        <w:textAlignment w:val="auto"/>
        <w:rPr>
          <w:rFonts w:hint="default" w:ascii="Times New Roman" w:hAnsi="Times New Roman" w:cs="Times New Roman"/>
        </w:rPr>
      </w:pPr>
    </w:p>
    <w:p w14:paraId="2FD83E8E">
      <w:pPr>
        <w:pStyle w:val="7"/>
        <w:keepNext w:val="0"/>
        <w:keepLines w:val="0"/>
        <w:pageBreakBefore w:val="0"/>
        <w:widowControl w:val="0"/>
        <w:kinsoku/>
        <w:wordWrap/>
        <w:overflowPunct/>
        <w:topLinePunct w:val="0"/>
        <w:autoSpaceDE/>
        <w:autoSpaceDN/>
        <w:bidi w:val="0"/>
        <w:adjustRightInd/>
        <w:snapToGrid/>
        <w:spacing w:line="60" w:lineRule="exact"/>
        <w:ind w:left="0" w:leftChars="0" w:firstLine="0" w:firstLineChars="0"/>
        <w:textAlignment w:val="auto"/>
        <w:rPr>
          <w:rFonts w:hint="default" w:ascii="Times New Roman" w:hAnsi="Times New Roman" w:cs="Times New Roman"/>
        </w:rPr>
      </w:pPr>
    </w:p>
    <w:p w14:paraId="554E83A9">
      <w:pPr>
        <w:pStyle w:val="7"/>
        <w:keepNext w:val="0"/>
        <w:keepLines w:val="0"/>
        <w:pageBreakBefore w:val="0"/>
        <w:widowControl w:val="0"/>
        <w:kinsoku/>
        <w:wordWrap/>
        <w:overflowPunct/>
        <w:topLinePunct w:val="0"/>
        <w:autoSpaceDE/>
        <w:autoSpaceDN/>
        <w:bidi w:val="0"/>
        <w:adjustRightInd/>
        <w:snapToGrid/>
        <w:spacing w:line="60" w:lineRule="exact"/>
        <w:ind w:firstLine="0" w:firstLineChars="0"/>
        <w:textAlignment w:val="auto"/>
        <w:rPr>
          <w:rFonts w:hint="default" w:ascii="Times New Roman" w:hAnsi="Times New Roman" w:cs="Times New Roman"/>
        </w:rPr>
      </w:pPr>
    </w:p>
    <w:p w14:paraId="2C426485">
      <w:pPr>
        <w:pStyle w:val="7"/>
        <w:keepNext w:val="0"/>
        <w:keepLines w:val="0"/>
        <w:pageBreakBefore w:val="0"/>
        <w:widowControl w:val="0"/>
        <w:kinsoku/>
        <w:wordWrap/>
        <w:overflowPunct/>
        <w:topLinePunct w:val="0"/>
        <w:autoSpaceDE/>
        <w:autoSpaceDN/>
        <w:bidi w:val="0"/>
        <w:adjustRightInd/>
        <w:snapToGrid/>
        <w:spacing w:line="60" w:lineRule="exact"/>
        <w:ind w:firstLine="0" w:firstLineChars="0"/>
        <w:textAlignment w:val="auto"/>
        <w:rPr>
          <w:rFonts w:hint="default" w:ascii="Times New Roman" w:hAnsi="Times New Roman" w:cs="Times New Roman"/>
        </w:rPr>
      </w:pPr>
    </w:p>
    <w:p w14:paraId="55945BB3">
      <w:pPr>
        <w:pStyle w:val="7"/>
        <w:keepNext w:val="0"/>
        <w:keepLines w:val="0"/>
        <w:pageBreakBefore w:val="0"/>
        <w:widowControl w:val="0"/>
        <w:kinsoku/>
        <w:wordWrap/>
        <w:overflowPunct/>
        <w:topLinePunct w:val="0"/>
        <w:autoSpaceDE/>
        <w:autoSpaceDN/>
        <w:bidi w:val="0"/>
        <w:adjustRightInd/>
        <w:snapToGrid/>
        <w:spacing w:line="60" w:lineRule="exact"/>
        <w:ind w:firstLine="0" w:firstLineChars="0"/>
        <w:textAlignment w:val="auto"/>
        <w:rPr>
          <w:rFonts w:hint="default" w:ascii="Times New Roman" w:hAnsi="Times New Roman" w:cs="Times New Roman"/>
        </w:rPr>
      </w:pPr>
    </w:p>
    <w:p w14:paraId="66821105">
      <w:pPr>
        <w:pStyle w:val="7"/>
        <w:keepNext w:val="0"/>
        <w:keepLines w:val="0"/>
        <w:pageBreakBefore w:val="0"/>
        <w:widowControl w:val="0"/>
        <w:kinsoku/>
        <w:wordWrap/>
        <w:overflowPunct/>
        <w:topLinePunct w:val="0"/>
        <w:autoSpaceDE/>
        <w:autoSpaceDN/>
        <w:bidi w:val="0"/>
        <w:adjustRightInd/>
        <w:snapToGrid/>
        <w:spacing w:line="60" w:lineRule="exact"/>
        <w:ind w:left="0" w:leftChars="0" w:firstLine="0" w:firstLineChars="0"/>
        <w:textAlignment w:val="auto"/>
        <w:rPr>
          <w:rFonts w:hint="default" w:ascii="Times New Roman" w:hAnsi="Times New Roman" w:cs="Times New Roman"/>
        </w:rPr>
      </w:pPr>
    </w:p>
    <w:p w14:paraId="56EBAF0F">
      <w:pPr>
        <w:pBdr>
          <w:top w:val="single" w:color="auto" w:sz="4" w:space="0"/>
          <w:bottom w:val="single" w:color="auto" w:sz="4" w:space="0"/>
        </w:pBdr>
        <w:spacing w:line="560" w:lineRule="exact"/>
        <w:ind w:firstLine="140" w:firstLineChars="50"/>
        <w:rPr>
          <w:rFonts w:hint="default" w:ascii="Times New Roman" w:hAnsi="Times New Roman" w:cs="Times New Roman"/>
        </w:rPr>
      </w:pPr>
      <w:r>
        <w:rPr>
          <w:rFonts w:hint="default" w:ascii="Times New Roman" w:hAnsi="Times New Roman" w:eastAsia="方正仿宋_GBK" w:cs="Times New Roman"/>
          <w:sz w:val="28"/>
          <w:szCs w:val="28"/>
        </w:rPr>
        <w:t xml:space="preserve">重庆市开州区国有资产监督管理委员会办公室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202</w:t>
      </w:r>
      <w:r>
        <w:rPr>
          <w:rFonts w:hint="default"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highlight w:val="none"/>
        </w:rPr>
        <w:t>3月</w:t>
      </w:r>
      <w:r>
        <w:rPr>
          <w:rFonts w:hint="eastAsia" w:ascii="Times New Roman" w:hAnsi="Times New Roman" w:eastAsia="方正仿宋_GBK" w:cs="Times New Roman"/>
          <w:sz w:val="28"/>
          <w:szCs w:val="28"/>
          <w:highlight w:val="none"/>
          <w:lang w:val="en-US" w:eastAsia="zh-CN"/>
        </w:rPr>
        <w:t>11</w:t>
      </w:r>
      <w:bookmarkStart w:id="0" w:name="_GoBack"/>
      <w:bookmarkEnd w:id="0"/>
      <w:r>
        <w:rPr>
          <w:rFonts w:hint="default" w:ascii="Times New Roman" w:hAnsi="Times New Roman" w:eastAsia="方正仿宋_GBK" w:cs="Times New Roman"/>
          <w:sz w:val="28"/>
          <w:szCs w:val="28"/>
        </w:rPr>
        <w:t>日印发</w:t>
      </w:r>
    </w:p>
    <w:sectPr>
      <w:headerReference r:id="rId3" w:type="default"/>
      <w:footerReference r:id="rId4" w:type="default"/>
      <w:footerReference r:id="rId5" w:type="even"/>
      <w:pgSz w:w="11906" w:h="16838"/>
      <w:pgMar w:top="2098" w:right="1531" w:bottom="1984"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776F7">
    <w:pPr>
      <w:pStyle w:val="4"/>
      <w:wordWrap w:val="0"/>
      <w:ind w:right="128" w:rightChars="61" w:firstLine="560"/>
      <w:jc w:val="right"/>
      <w:rPr>
        <w:rFonts w:ascii="宋体" w:hAnsi="宋体"/>
        <w:sz w:val="28"/>
        <w:szCs w:val="28"/>
      </w:rPr>
    </w:pPr>
    <w:r>
      <w:rPr>
        <w:rStyle w:val="10"/>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r>
      <w:rPr>
        <w:rFonts w:hint="eastAsia" w:ascii="宋体" w:hAnsi="宋体"/>
        <w:sz w:val="28"/>
        <w:szCs w:val="28"/>
      </w:rPr>
      <w:t xml:space="preserve"> </w:t>
    </w:r>
    <w:r>
      <w:rPr>
        <w:rStyle w:val="10"/>
        <w:rFonts w:hint="eastAsia" w:ascii="宋体" w:hAnsi="宋体"/>
        <w:sz w:val="28"/>
        <w:szCs w:val="28"/>
      </w:rPr>
      <w:t>—</w:t>
    </w:r>
  </w:p>
  <w:p w14:paraId="333F6147"/>
  <w:p w14:paraId="0E1ACD02"/>
  <w:p w14:paraId="644607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B0EB5">
    <w:pPr>
      <w:pStyle w:val="4"/>
      <w:tabs>
        <w:tab w:val="left" w:pos="426"/>
      </w:tabs>
      <w:wordWrap w:val="0"/>
      <w:ind w:left="279" w:leftChars="133" w:right="560" w:firstLine="560"/>
      <w:rPr>
        <w:rFonts w:ascii="宋体" w:hAnsi="宋体"/>
        <w:sz w:val="28"/>
        <w:szCs w:val="28"/>
      </w:rPr>
    </w:pPr>
    <w:r>
      <w:rPr>
        <w:rStyle w:val="10"/>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r>
      <w:rPr>
        <w:rStyle w:val="10"/>
        <w:rFonts w:hint="eastAsia" w:ascii="宋体" w:hAnsi="宋体"/>
        <w:sz w:val="28"/>
        <w:szCs w:val="28"/>
      </w:rPr>
      <w:t xml:space="preserve">—  </w:t>
    </w:r>
  </w:p>
  <w:p w14:paraId="4A6CBAD5"/>
  <w:p w14:paraId="70C55B31"/>
  <w:p w14:paraId="25D41D88"/>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611F1">
    <w:pPr>
      <w:pStyle w:val="5"/>
      <w:pBdr>
        <w:bottom w:val="none" w:color="auto" w:sz="0" w:space="0"/>
      </w:pBdr>
      <w:ind w:firstLine="360"/>
    </w:pPr>
  </w:p>
  <w:p w14:paraId="338A2B66"/>
  <w:p w14:paraId="6C79BACD"/>
  <w:p w14:paraId="13175BD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OGY1MzRkZTFiNGQ5ZjE5MjJhNDlkZmQ3MTYzNmMifQ=="/>
  </w:docVars>
  <w:rsids>
    <w:rsidRoot w:val="40382DBB"/>
    <w:rsid w:val="00085A9F"/>
    <w:rsid w:val="000B0EC8"/>
    <w:rsid w:val="000E6890"/>
    <w:rsid w:val="001929D7"/>
    <w:rsid w:val="001C67F9"/>
    <w:rsid w:val="002112FC"/>
    <w:rsid w:val="00244BEF"/>
    <w:rsid w:val="00282701"/>
    <w:rsid w:val="002E56A1"/>
    <w:rsid w:val="00350624"/>
    <w:rsid w:val="00357767"/>
    <w:rsid w:val="0038495B"/>
    <w:rsid w:val="003A01E5"/>
    <w:rsid w:val="003B6867"/>
    <w:rsid w:val="00422E25"/>
    <w:rsid w:val="00431E70"/>
    <w:rsid w:val="00461750"/>
    <w:rsid w:val="00483BB5"/>
    <w:rsid w:val="004E4DE1"/>
    <w:rsid w:val="005237A7"/>
    <w:rsid w:val="005538EB"/>
    <w:rsid w:val="0056304D"/>
    <w:rsid w:val="005D4CFD"/>
    <w:rsid w:val="0060085C"/>
    <w:rsid w:val="0060429B"/>
    <w:rsid w:val="00651905"/>
    <w:rsid w:val="00666A35"/>
    <w:rsid w:val="006E690E"/>
    <w:rsid w:val="0075448C"/>
    <w:rsid w:val="007574FE"/>
    <w:rsid w:val="00781DB1"/>
    <w:rsid w:val="00800830"/>
    <w:rsid w:val="008341DF"/>
    <w:rsid w:val="008510B8"/>
    <w:rsid w:val="00881C34"/>
    <w:rsid w:val="0089785B"/>
    <w:rsid w:val="009276DF"/>
    <w:rsid w:val="009375DC"/>
    <w:rsid w:val="009F4667"/>
    <w:rsid w:val="00A301D5"/>
    <w:rsid w:val="00A56636"/>
    <w:rsid w:val="00A63C13"/>
    <w:rsid w:val="00A70854"/>
    <w:rsid w:val="00A96B10"/>
    <w:rsid w:val="00AC0678"/>
    <w:rsid w:val="00B06CD6"/>
    <w:rsid w:val="00B24756"/>
    <w:rsid w:val="00B95F96"/>
    <w:rsid w:val="00BA6876"/>
    <w:rsid w:val="00BE1C6C"/>
    <w:rsid w:val="00C01AB6"/>
    <w:rsid w:val="00C0237D"/>
    <w:rsid w:val="00C4104B"/>
    <w:rsid w:val="00C90FAD"/>
    <w:rsid w:val="00D261B8"/>
    <w:rsid w:val="00D84260"/>
    <w:rsid w:val="00DB7757"/>
    <w:rsid w:val="00DD5907"/>
    <w:rsid w:val="00DD6284"/>
    <w:rsid w:val="00DE2F78"/>
    <w:rsid w:val="00E3274D"/>
    <w:rsid w:val="00E37150"/>
    <w:rsid w:val="00E770B7"/>
    <w:rsid w:val="00EE73AA"/>
    <w:rsid w:val="00EF7154"/>
    <w:rsid w:val="00F44820"/>
    <w:rsid w:val="00F9515F"/>
    <w:rsid w:val="00FD5CE1"/>
    <w:rsid w:val="00FE4D31"/>
    <w:rsid w:val="00FF466B"/>
    <w:rsid w:val="01A30F42"/>
    <w:rsid w:val="023D46EC"/>
    <w:rsid w:val="034D6BB0"/>
    <w:rsid w:val="04077B51"/>
    <w:rsid w:val="052C6F40"/>
    <w:rsid w:val="065C5477"/>
    <w:rsid w:val="08A4332D"/>
    <w:rsid w:val="103E61FE"/>
    <w:rsid w:val="119D0D03"/>
    <w:rsid w:val="17187D98"/>
    <w:rsid w:val="196A1E12"/>
    <w:rsid w:val="1A1D50D7"/>
    <w:rsid w:val="1B0F5FEB"/>
    <w:rsid w:val="1E537319"/>
    <w:rsid w:val="1F5F1263"/>
    <w:rsid w:val="228F28EA"/>
    <w:rsid w:val="2584600A"/>
    <w:rsid w:val="264D28A0"/>
    <w:rsid w:val="26FF11DB"/>
    <w:rsid w:val="28CE1A0F"/>
    <w:rsid w:val="2927387C"/>
    <w:rsid w:val="2EAB4607"/>
    <w:rsid w:val="2EDE3D23"/>
    <w:rsid w:val="30D52105"/>
    <w:rsid w:val="30F43117"/>
    <w:rsid w:val="313F67D5"/>
    <w:rsid w:val="317E4255"/>
    <w:rsid w:val="38F90665"/>
    <w:rsid w:val="3B752FDB"/>
    <w:rsid w:val="3D56527B"/>
    <w:rsid w:val="3F8F3AD1"/>
    <w:rsid w:val="40382DBB"/>
    <w:rsid w:val="41923405"/>
    <w:rsid w:val="41D8350E"/>
    <w:rsid w:val="43D42C46"/>
    <w:rsid w:val="484A4A39"/>
    <w:rsid w:val="492B6619"/>
    <w:rsid w:val="4A3E72EF"/>
    <w:rsid w:val="4AA04DE4"/>
    <w:rsid w:val="4C87625C"/>
    <w:rsid w:val="4E4A7541"/>
    <w:rsid w:val="4E8011B5"/>
    <w:rsid w:val="4ECF3EEA"/>
    <w:rsid w:val="4EEF2AAB"/>
    <w:rsid w:val="526B7834"/>
    <w:rsid w:val="54444A33"/>
    <w:rsid w:val="54707BB6"/>
    <w:rsid w:val="54987E18"/>
    <w:rsid w:val="54FC530D"/>
    <w:rsid w:val="551B39E5"/>
    <w:rsid w:val="57931F59"/>
    <w:rsid w:val="5AA07308"/>
    <w:rsid w:val="5AA4622B"/>
    <w:rsid w:val="5F0674B4"/>
    <w:rsid w:val="6034283E"/>
    <w:rsid w:val="60FF240D"/>
    <w:rsid w:val="62707DA7"/>
    <w:rsid w:val="643645DC"/>
    <w:rsid w:val="66522FDF"/>
    <w:rsid w:val="69382960"/>
    <w:rsid w:val="69747710"/>
    <w:rsid w:val="6E6807E2"/>
    <w:rsid w:val="6EB000E1"/>
    <w:rsid w:val="6EFE1F56"/>
    <w:rsid w:val="710D46D2"/>
    <w:rsid w:val="71EA4A14"/>
    <w:rsid w:val="71FE04BF"/>
    <w:rsid w:val="75317EEF"/>
    <w:rsid w:val="77715F53"/>
    <w:rsid w:val="7A012A0E"/>
    <w:rsid w:val="7AC758F2"/>
    <w:rsid w:val="7AF4388C"/>
    <w:rsid w:val="7C4B208C"/>
    <w:rsid w:val="7D4C6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ind w:firstLine="640" w:firstLineChars="200"/>
    </w:pPr>
    <w:rPr>
      <w:rFonts w:ascii="仿宋_GB2312" w:eastAsia="仿宋_GB2312"/>
      <w:sz w:val="32"/>
    </w:rPr>
  </w:style>
  <w:style w:type="paragraph" w:styleId="3">
    <w:name w:val="Date"/>
    <w:basedOn w:val="1"/>
    <w:next w:val="1"/>
    <w:link w:val="12"/>
    <w:qFormat/>
    <w:uiPriority w:val="0"/>
    <w:pPr>
      <w:ind w:left="100" w:leftChars="250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qFormat/>
    <w:uiPriority w:val="10"/>
    <w:pPr>
      <w:spacing w:before="240" w:after="60"/>
      <w:outlineLvl w:val="0"/>
    </w:pPr>
    <w:rPr>
      <w:rFonts w:ascii="Arial" w:hAnsi="Arial" w:cs="Arial"/>
      <w:b/>
      <w:bCs/>
      <w:sz w:val="32"/>
      <w:szCs w:val="32"/>
    </w:rPr>
  </w:style>
  <w:style w:type="paragraph" w:styleId="7">
    <w:name w:val="Body Text First Indent 2"/>
    <w:basedOn w:val="2"/>
    <w:link w:val="14"/>
    <w:unhideWhenUsed/>
    <w:qFormat/>
    <w:uiPriority w:val="0"/>
    <w:pPr>
      <w:spacing w:after="120"/>
      <w:ind w:left="420" w:leftChars="200" w:firstLine="420"/>
    </w:pPr>
    <w:rPr>
      <w:rFonts w:asciiTheme="minorHAnsi" w:eastAsiaTheme="minorEastAsia"/>
      <w:sz w:val="21"/>
    </w:rPr>
  </w:style>
  <w:style w:type="character" w:styleId="10">
    <w:name w:val="page number"/>
    <w:qFormat/>
    <w:uiPriority w:val="0"/>
  </w:style>
  <w:style w:type="paragraph" w:styleId="11">
    <w:name w:val="List Paragraph"/>
    <w:basedOn w:val="1"/>
    <w:qFormat/>
    <w:uiPriority w:val="34"/>
    <w:pPr>
      <w:tabs>
        <w:tab w:val="center" w:pos="4153"/>
        <w:tab w:val="left" w:pos="7275"/>
      </w:tabs>
      <w:spacing w:line="594" w:lineRule="exact"/>
      <w:ind w:firstLine="640" w:firstLineChars="200"/>
      <w:jc w:val="left"/>
    </w:pPr>
    <w:rPr>
      <w:rFonts w:ascii="Times New Roman" w:hAnsi="Times New Roman" w:eastAsia="方正仿宋_GBK" w:cs="方正仿宋_GBK"/>
      <w:color w:val="000000" w:themeColor="text1"/>
      <w:sz w:val="32"/>
      <w:szCs w:val="32"/>
      <w14:textFill>
        <w14:solidFill>
          <w14:schemeClr w14:val="tx1"/>
        </w14:solidFill>
      </w14:textFill>
    </w:rPr>
  </w:style>
  <w:style w:type="character" w:customStyle="1" w:styleId="12">
    <w:name w:val="日期 Char"/>
    <w:basedOn w:val="9"/>
    <w:link w:val="3"/>
    <w:qFormat/>
    <w:uiPriority w:val="0"/>
    <w:rPr>
      <w:kern w:val="2"/>
      <w:sz w:val="21"/>
      <w:szCs w:val="24"/>
    </w:rPr>
  </w:style>
  <w:style w:type="character" w:customStyle="1" w:styleId="13">
    <w:name w:val="正文文本缩进 Char"/>
    <w:basedOn w:val="9"/>
    <w:link w:val="2"/>
    <w:qFormat/>
    <w:uiPriority w:val="0"/>
    <w:rPr>
      <w:rFonts w:ascii="仿宋_GB2312" w:eastAsia="仿宋_GB2312"/>
      <w:kern w:val="2"/>
      <w:sz w:val="32"/>
      <w:szCs w:val="24"/>
    </w:rPr>
  </w:style>
  <w:style w:type="character" w:customStyle="1" w:styleId="14">
    <w:name w:val="正文首行缩进 2 Char"/>
    <w:basedOn w:val="13"/>
    <w:link w:val="7"/>
    <w:qFormat/>
    <w:uiPriority w:val="0"/>
    <w:rPr>
      <w:rFonts w:ascii="仿宋_GB2312" w:eastAsia="仿宋_GB2312"/>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2302</Words>
  <Characters>2479</Characters>
  <Lines>20</Lines>
  <Paragraphs>5</Paragraphs>
  <TotalTime>89</TotalTime>
  <ScaleCrop>false</ScaleCrop>
  <LinksUpToDate>false</LinksUpToDate>
  <CharactersWithSpaces>2509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2024-03-06T02:37:00Z</dcterms:created>
  <dc:creator>阳建</dc:creator>
  <cp:lastModifiedBy>Administrator</cp:lastModifiedBy>
  <dcterms:modified xsi:type="dcterms:W3CDTF">2026-03-12T09:10:01Z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418A01EA03924A4FA2E539E8F6F16411_13</vt:lpwstr>
  </property>
  <property fmtid="{D5CDD505-2E9C-101B-9397-08002B2CF9AE}" pid="4" name="KSOTemplateDocerSaveRecord">
    <vt:lpwstr>eyJoZGlkIjoiMzFlMWZhZTRiNTE2ZWE0MGNiZGU4ZThjZWVlOGJkYjUifQ==</vt:lpwstr>
  </property>
</Properties>
</file>