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3"/>
      </w:tblGrid>
      <w:tr w14:paraId="69D6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14:paraId="7603BC56">
            <w:pPr>
              <w:spacing w:line="600" w:lineRule="exact"/>
              <w:rPr>
                <w:rFonts w:hint="default" w:ascii="Times New Roman" w:hAnsi="Times New Roman" w:eastAsia="方正黑体_GBK" w:cs="Times New Roman"/>
                <w:sz w:val="32"/>
                <w:szCs w:val="32"/>
              </w:rPr>
            </w:pPr>
          </w:p>
        </w:tc>
      </w:tr>
      <w:tr w14:paraId="1990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14:paraId="3AEDC46E">
            <w:pPr>
              <w:jc w:val="both"/>
              <w:rPr>
                <w:rFonts w:hint="default" w:ascii="Times New Roman" w:hAnsi="Times New Roman" w:eastAsia="方正小标宋简体" w:cs="Times New Roman"/>
                <w:color w:val="FF0000"/>
                <w:w w:val="80"/>
                <w:sz w:val="32"/>
                <w:szCs w:val="32"/>
                <w:lang w:eastAsia="zh-CN"/>
              </w:rPr>
            </w:pPr>
          </w:p>
        </w:tc>
      </w:tr>
      <w:tr w14:paraId="6441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14:paraId="24B6C1CA">
            <w:pPr>
              <w:jc w:val="distribute"/>
              <w:rPr>
                <w:rFonts w:hint="default" w:ascii="Times New Roman" w:hAnsi="Times New Roman" w:eastAsia="方正小标宋_GBK" w:cs="Times New Roman"/>
                <w:b/>
                <w:color w:val="FF3300"/>
                <w:spacing w:val="-23"/>
                <w:w w:val="48"/>
                <w:sz w:val="128"/>
                <w:szCs w:val="128"/>
              </w:rPr>
            </w:pPr>
            <w:r>
              <w:rPr>
                <w:rFonts w:hint="default" w:ascii="Times New Roman" w:hAnsi="Times New Roman" w:eastAsia="方正小标宋_GBK" w:cs="Times New Roman"/>
                <w:b/>
                <w:color w:val="FF3300"/>
                <w:spacing w:val="-23"/>
                <w:w w:val="48"/>
                <w:sz w:val="120"/>
                <w:szCs w:val="120"/>
              </w:rPr>
              <w:t>中共重庆市开州区委</w:t>
            </w:r>
            <w:r>
              <w:rPr>
                <w:rFonts w:hint="default" w:ascii="Times New Roman" w:hAnsi="Times New Roman" w:eastAsia="方正小标宋_GBK" w:cs="Times New Roman"/>
                <w:b/>
                <w:color w:val="FF3300"/>
                <w:spacing w:val="-23"/>
                <w:w w:val="48"/>
                <w:sz w:val="120"/>
                <w:szCs w:val="120"/>
                <w:lang w:eastAsia="zh-CN"/>
              </w:rPr>
              <w:t>社会工作部</w:t>
            </w:r>
            <w:r>
              <w:rPr>
                <w:rFonts w:hint="default" w:ascii="Times New Roman" w:hAnsi="Times New Roman" w:eastAsia="方正小标宋_GBK" w:cs="Times New Roman"/>
                <w:b/>
                <w:color w:val="FF3300"/>
                <w:spacing w:val="-23"/>
                <w:w w:val="48"/>
                <w:sz w:val="120"/>
                <w:szCs w:val="120"/>
              </w:rPr>
              <w:t>文件</w:t>
            </w:r>
          </w:p>
        </w:tc>
      </w:tr>
      <w:tr w14:paraId="4F3C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ign w:val="bottom"/>
          </w:tcPr>
          <w:p w14:paraId="2962A7C7">
            <w:pPr>
              <w:spacing w:line="540" w:lineRule="exact"/>
              <w:ind w:firstLine="320" w:firstLineChars="100"/>
              <w:jc w:val="both"/>
              <w:rPr>
                <w:rFonts w:hint="default" w:ascii="Times New Roman" w:hAnsi="Times New Roman" w:eastAsia="方正仿宋_GB2312" w:cs="Times New Roman"/>
                <w:spacing w:val="0"/>
                <w:sz w:val="34"/>
                <w:szCs w:val="34"/>
                <w:lang w:val="en-US" w:eastAsia="zh-CN"/>
              </w:rPr>
            </w:pPr>
            <w:r>
              <w:rPr>
                <w:rFonts w:hint="default" w:ascii="Times New Roman" w:hAnsi="Times New Roman" w:eastAsia="方正仿宋_GB2312" w:cs="Times New Roman"/>
                <w:spacing w:val="0"/>
                <w:sz w:val="32"/>
                <w:szCs w:val="32"/>
                <w:lang w:eastAsia="zh-CN"/>
              </w:rPr>
              <w:t>开州委社发</w:t>
            </w:r>
            <w:r>
              <w:rPr>
                <w:rFonts w:hint="default" w:ascii="Times New Roman" w:hAnsi="Times New Roman" w:eastAsia="方正仿宋_GB2312" w:cs="Times New Roman"/>
                <w:spacing w:val="0"/>
                <w:sz w:val="32"/>
                <w:szCs w:val="32"/>
              </w:rPr>
              <w:t>〔20</w:t>
            </w:r>
            <w:r>
              <w:rPr>
                <w:rFonts w:hint="default" w:ascii="Times New Roman" w:hAnsi="Times New Roman" w:eastAsia="方正仿宋_GB2312" w:cs="Times New Roman"/>
                <w:spacing w:val="0"/>
                <w:sz w:val="32"/>
                <w:szCs w:val="32"/>
                <w:lang w:val="en-US" w:eastAsia="zh-CN"/>
              </w:rPr>
              <w:t>26</w:t>
            </w:r>
            <w:r>
              <w:rPr>
                <w:rFonts w:hint="default" w:ascii="Times New Roman" w:hAnsi="Times New Roman" w:eastAsia="方正仿宋_GB2312" w:cs="Times New Roman"/>
                <w:spacing w:val="0"/>
                <w:sz w:val="32"/>
                <w:szCs w:val="32"/>
              </w:rPr>
              <w:t>〕</w:t>
            </w:r>
            <w:r>
              <w:rPr>
                <w:rFonts w:hint="eastAsia" w:ascii="Times New Roman" w:hAnsi="Times New Roman" w:eastAsia="方正仿宋_GB2312" w:cs="Times New Roman"/>
                <w:spacing w:val="0"/>
                <w:sz w:val="32"/>
                <w:szCs w:val="32"/>
                <w:lang w:val="en-US" w:eastAsia="zh-CN"/>
              </w:rPr>
              <w:t>12</w:t>
            </w:r>
            <w:r>
              <w:rPr>
                <w:rFonts w:hint="default" w:ascii="Times New Roman" w:hAnsi="Times New Roman" w:eastAsia="方正仿宋_GB2312" w:cs="Times New Roman"/>
                <w:spacing w:val="0"/>
                <w:sz w:val="32"/>
                <w:szCs w:val="32"/>
              </w:rPr>
              <w:t>号</w:t>
            </w:r>
            <w:r>
              <w:rPr>
                <w:rFonts w:hint="default" w:ascii="Times New Roman" w:hAnsi="Times New Roman" w:eastAsia="方正仿宋_GB2312" w:cs="Times New Roman"/>
                <w:spacing w:val="0"/>
                <w:sz w:val="32"/>
                <w:szCs w:val="32"/>
                <w:lang w:val="en-US" w:eastAsia="zh-CN"/>
              </w:rPr>
              <w:t xml:space="preserve">              签发人：</w:t>
            </w:r>
            <w:r>
              <w:rPr>
                <w:rFonts w:hint="default" w:ascii="Times New Roman" w:hAnsi="Times New Roman" w:eastAsia="方正楷体_GBK" w:cs="Times New Roman"/>
                <w:spacing w:val="0"/>
                <w:sz w:val="32"/>
                <w:szCs w:val="32"/>
                <w:lang w:val="en-US" w:eastAsia="zh-CN"/>
              </w:rPr>
              <w:t>盛兴龙</w:t>
            </w:r>
          </w:p>
          <w:p w14:paraId="3E53A9C3">
            <w:pPr>
              <w:spacing w:line="540" w:lineRule="exact"/>
              <w:jc w:val="center"/>
              <w:rPr>
                <w:rFonts w:hint="default" w:ascii="Times New Roman" w:hAnsi="Times New Roman" w:cs="Times New Roman"/>
                <w:color w:val="FF3300"/>
                <w:spacing w:val="-23"/>
                <w:sz w:val="52"/>
                <w:szCs w:val="52"/>
              </w:rPr>
            </w:pPr>
            <w:r>
              <w:rPr>
                <w:rFonts w:hint="default" w:ascii="Times New Roman" w:hAnsi="Times New Roman" w:cs="Times New Roman"/>
                <w:color w:val="FF3300"/>
                <w:spacing w:val="-23"/>
                <w:sz w:val="52"/>
                <w:szCs w:val="5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128270</wp:posOffset>
                      </wp:positionV>
                      <wp:extent cx="2519680" cy="0"/>
                      <wp:effectExtent l="0" t="13970" r="13970" b="24130"/>
                      <wp:wrapNone/>
                      <wp:docPr id="4" name="直接连接符 4"/>
                      <wp:cNvGraphicFramePr/>
                      <a:graphic xmlns:a="http://schemas.openxmlformats.org/drawingml/2006/main">
                        <a:graphicData uri="http://schemas.microsoft.com/office/word/2010/wordprocessingShape">
                          <wps:wsp>
                            <wps:cNvCnPr/>
                            <wps:spPr>
                              <a:xfrm>
                                <a:off x="0" y="0"/>
                                <a:ext cx="2519680" cy="0"/>
                              </a:xfrm>
                              <a:prstGeom prst="line">
                                <a:avLst/>
                              </a:prstGeom>
                              <a:ln w="28575" cap="flat" cmpd="sng">
                                <a:solidFill>
                                  <a:srgbClr val="FF33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1pt;margin-top:10.1pt;height:0pt;width:198.4pt;z-index:251660288;mso-width-relative:page;mso-height-relative:page;" filled="f" stroked="t" coordsize="21600,21600" o:gfxdata="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7m41wAAAAkBAAAPAAAAAAAAAAEAIAAAACIAAABkcnMvZG93bnJldi54bWxQ&#10;SwECFAAUAAAACACHTuJAeNScW/gBAADlAwAADgAAAAAAAAABACAAAAAmAQAAZHJzL2Uyb0RvYy54&#10;bWxQSwUGAAAAAAYABgBZAQAAkAUAAAAA&#10;">
                      <v:fill on="f" focussize="0,0"/>
                      <v:stroke weight="2.25pt" color="#FF3300" joinstyle="round"/>
                      <v:imagedata o:title=""/>
                      <o:lock v:ext="edit" aspectratio="f"/>
                    </v:line>
                  </w:pict>
                </mc:Fallback>
              </mc:AlternateContent>
            </w:r>
            <w:r>
              <w:rPr>
                <w:rFonts w:hint="default" w:ascii="Times New Roman" w:hAnsi="Times New Roman" w:cs="Times New Roman"/>
                <w:color w:val="FF3300"/>
                <w:spacing w:val="-23"/>
                <w:sz w:val="52"/>
                <w:szCs w:val="52"/>
              </w:rPr>
              <mc:AlternateContent>
                <mc:Choice Requires="wps">
                  <w:drawing>
                    <wp:anchor distT="0" distB="0" distL="114300" distR="114300" simplePos="0" relativeHeight="251661312" behindDoc="0" locked="0" layoutInCell="1" allowOverlap="1">
                      <wp:simplePos x="0" y="0"/>
                      <wp:positionH relativeFrom="column">
                        <wp:posOffset>2893060</wp:posOffset>
                      </wp:positionH>
                      <wp:positionV relativeFrom="paragraph">
                        <wp:posOffset>121920</wp:posOffset>
                      </wp:positionV>
                      <wp:extent cx="2519680" cy="0"/>
                      <wp:effectExtent l="0" t="13970" r="13970" b="24130"/>
                      <wp:wrapNone/>
                      <wp:docPr id="3" name="直接连接符 3"/>
                      <wp:cNvGraphicFramePr/>
                      <a:graphic xmlns:a="http://schemas.openxmlformats.org/drawingml/2006/main">
                        <a:graphicData uri="http://schemas.microsoft.com/office/word/2010/wordprocessingShape">
                          <wps:wsp>
                            <wps:cNvCnPr/>
                            <wps:spPr>
                              <a:xfrm>
                                <a:off x="0" y="0"/>
                                <a:ext cx="2519680" cy="0"/>
                              </a:xfrm>
                              <a:prstGeom prst="line">
                                <a:avLst/>
                              </a:prstGeom>
                              <a:ln w="28575" cap="flat" cmpd="sng">
                                <a:solidFill>
                                  <a:srgbClr val="FF33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7.8pt;margin-top:9.6pt;height:0pt;width:198.4pt;z-index:251661312;mso-width-relative:page;mso-height-relative:page;" filled="f" stroked="t" coordsize="21600,21600" o:gfxdata="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ZZsm2AAAAAkBAAAPAAAAAAAAAAEAIAAAACIAAABkcnMvZG93bnJldi54bWxQ&#10;SwECFAAUAAAACACHTuJA9g3/lPcBAADlAwAADgAAAAAAAAABACAAAAAnAQAAZHJzL2Uyb0RvYy54&#10;bWxQSwUGAAAAAAYABgBZAQAAkAUAAAAA&#10;">
                      <v:fill on="f" focussize="0,0"/>
                      <v:stroke weight="2.25pt" color="#FF3300" joinstyle="round"/>
                      <v:imagedata o:title=""/>
                      <o:lock v:ext="edit" aspectratio="f"/>
                    </v:line>
                  </w:pict>
                </mc:Fallback>
              </mc:AlternateContent>
            </w:r>
            <w:r>
              <w:rPr>
                <w:rFonts w:hint="default" w:ascii="Times New Roman" w:hAnsi="Times New Roman" w:eastAsia="方正小标宋_GBK" w:cs="Times New Roman"/>
                <w:b/>
                <w:color w:val="FF3300"/>
                <w:spacing w:val="-23"/>
                <w:sz w:val="52"/>
                <w:szCs w:val="52"/>
              </w:rPr>
              <w:t>★</w:t>
            </w:r>
          </w:p>
        </w:tc>
      </w:tr>
    </w:tbl>
    <w:p w14:paraId="1487A80F">
      <w:pPr>
        <w:rPr>
          <w:rFonts w:hint="default" w:ascii="Times New Roman" w:hAnsi="Times New Roman" w:cs="Times New Roman"/>
          <w:highlight w:val="none"/>
        </w:rPr>
      </w:pPr>
    </w:p>
    <w:p w14:paraId="19EC4129">
      <w:pPr>
        <w:keepNext w:val="0"/>
        <w:keepLines w:val="0"/>
        <w:pageBreakBefore w:val="0"/>
        <w:widowControl w:val="0"/>
        <w:kinsoku/>
        <w:wordWrap/>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000000"/>
          <w:sz w:val="44"/>
          <w:szCs w:val="44"/>
          <w:highlight w:val="none"/>
          <w:lang w:eastAsia="zh-CN"/>
        </w:rPr>
      </w:pPr>
    </w:p>
    <w:p w14:paraId="63FA051B">
      <w:pPr>
        <w:keepNext w:val="0"/>
        <w:keepLines w:val="0"/>
        <w:pageBreakBefore w:val="0"/>
        <w:widowControl w:val="0"/>
        <w:kinsoku/>
        <w:wordWrap/>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000000"/>
          <w:sz w:val="44"/>
          <w:szCs w:val="44"/>
          <w:highlight w:val="none"/>
          <w:lang w:eastAsia="zh-CN"/>
        </w:rPr>
      </w:pPr>
      <w:r>
        <w:rPr>
          <w:rFonts w:hint="eastAsia" w:ascii="Times New Roman" w:hAnsi="Times New Roman" w:eastAsia="方正小标宋_GBK" w:cs="Times New Roman"/>
          <w:color w:val="000000"/>
          <w:sz w:val="44"/>
          <w:szCs w:val="44"/>
          <w:highlight w:val="none"/>
          <w:lang w:eastAsia="zh-CN"/>
        </w:rPr>
        <w:t>中共重庆市开州区委社会工作部（本级）</w:t>
      </w:r>
    </w:p>
    <w:p w14:paraId="76D9FFC4">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040579A6">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5B1C9A4D">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sz w:val="32"/>
          <w:szCs w:val="32"/>
          <w:highlight w:val="none"/>
          <w:lang w:eastAsia="zh-CN"/>
        </w:rPr>
        <w:t>区委社会工作部</w:t>
      </w:r>
      <w:r>
        <w:rPr>
          <w:rFonts w:eastAsia="方正仿宋_GBK"/>
          <w:sz w:val="32"/>
          <w:szCs w:val="32"/>
          <w:highlight w:val="none"/>
        </w:rPr>
        <w:t>《关于批复</w:t>
      </w:r>
      <w:r>
        <w:rPr>
          <w:rFonts w:hint="eastAsia" w:eastAsia="方正仿宋_GBK"/>
          <w:sz w:val="32"/>
          <w:szCs w:val="32"/>
          <w:highlight w:val="none"/>
          <w:lang w:val="en-US" w:eastAsia="zh-CN"/>
        </w:rPr>
        <w:t>2026</w:t>
      </w:r>
      <w:r>
        <w:rPr>
          <w:rFonts w:eastAsia="方正仿宋_GBK"/>
          <w:sz w:val="32"/>
          <w:szCs w:val="32"/>
          <w:highlight w:val="none"/>
        </w:rPr>
        <w:t>年</w:t>
      </w:r>
      <w:r>
        <w:rPr>
          <w:rFonts w:hint="eastAsia" w:eastAsia="方正仿宋_GBK"/>
          <w:sz w:val="32"/>
          <w:szCs w:val="32"/>
          <w:highlight w:val="none"/>
          <w:lang w:eastAsia="zh-CN"/>
        </w:rPr>
        <w:t>单位</w:t>
      </w:r>
      <w:r>
        <w:rPr>
          <w:rFonts w:eastAsia="方正仿宋_GBK"/>
          <w:sz w:val="32"/>
          <w:szCs w:val="32"/>
          <w:highlight w:val="none"/>
        </w:rPr>
        <w:t>预算的通知》</w:t>
      </w:r>
      <w:r>
        <w:rPr>
          <w:rFonts w:hint="eastAsia" w:eastAsia="方正仿宋_GBK"/>
          <w:sz w:val="32"/>
          <w:szCs w:val="32"/>
          <w:highlight w:val="none"/>
          <w:lang w:eastAsia="zh-CN"/>
        </w:rPr>
        <w:t>（开州委社发〔</w:t>
      </w:r>
      <w:r>
        <w:rPr>
          <w:rFonts w:hint="eastAsia" w:eastAsia="方正仿宋_GBK"/>
          <w:sz w:val="32"/>
          <w:szCs w:val="32"/>
          <w:highlight w:val="none"/>
          <w:lang w:val="en-US" w:eastAsia="zh-CN"/>
        </w:rPr>
        <w:t>2026</w:t>
      </w:r>
      <w:r>
        <w:rPr>
          <w:rFonts w:hint="eastAsia" w:eastAsia="方正仿宋_GBK"/>
          <w:sz w:val="32"/>
          <w:szCs w:val="32"/>
          <w:highlight w:val="none"/>
          <w:lang w:eastAsia="zh-CN"/>
        </w:rPr>
        <w:t>〕</w:t>
      </w:r>
      <w:r>
        <w:rPr>
          <w:rFonts w:hint="eastAsia" w:eastAsia="方正仿宋_GBK"/>
          <w:sz w:val="32"/>
          <w:szCs w:val="32"/>
          <w:highlight w:val="none"/>
          <w:lang w:val="en-US" w:eastAsia="zh-CN"/>
        </w:rPr>
        <w:t>9</w:t>
      </w:r>
      <w:r>
        <w:rPr>
          <w:rFonts w:hint="eastAsia" w:eastAsia="方正仿宋_GBK"/>
          <w:sz w:val="32"/>
          <w:szCs w:val="32"/>
          <w:highlight w:val="none"/>
          <w:lang w:eastAsia="zh-CN"/>
        </w:rPr>
        <w:t>号）</w:t>
      </w:r>
      <w:r>
        <w:rPr>
          <w:rFonts w:hint="default" w:ascii="Times New Roman" w:hAnsi="Times New Roman" w:eastAsia="方正仿宋_GBK" w:cs="Times New Roman"/>
          <w:sz w:val="32"/>
          <w:szCs w:val="32"/>
          <w:highlight w:val="none"/>
        </w:rPr>
        <w:t>,现将中共重庆市开州区委社会工作部（本级）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54AE0AD4">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14:paraId="3D5D2295">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14:paraId="7FDCA578">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14:paraId="0BF7B385">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14:paraId="68C1BD97">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3CC3A81A">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04364962">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4BB974A0">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34B3D3F3">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48F91B1E">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4908B26B">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37CF0066">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11D9E1BD">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六、专业性名词解释（纳入向社会公开范围的部门必须填写！）</w:t>
      </w:r>
    </w:p>
    <w:p w14:paraId="2D940259">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14:paraId="6BC6A291">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2A59ECCA">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4CF20434">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收支预算总表</w:t>
      </w:r>
    </w:p>
    <w:p w14:paraId="3FE9058C">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收入总表</w:t>
      </w:r>
    </w:p>
    <w:p w14:paraId="0D50B8F4">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pacing w:val="-6"/>
          <w:sz w:val="32"/>
          <w:szCs w:val="32"/>
          <w:highlight w:val="none"/>
        </w:rPr>
      </w:pPr>
      <w:r>
        <w:rPr>
          <w:rFonts w:hint="default" w:ascii="Times New Roman" w:hAnsi="Times New Roman" w:eastAsia="方正仿宋_GBK" w:cs="Times New Roman"/>
          <w:sz w:val="32"/>
          <w:szCs w:val="32"/>
          <w:highlight w:val="none"/>
        </w:rPr>
        <w:t>表3、</w:t>
      </w:r>
      <w:r>
        <w:rPr>
          <w:rFonts w:hint="eastAsia" w:eastAsia="方正仿宋_GBK"/>
          <w:spacing w:val="-6"/>
          <w:sz w:val="32"/>
          <w:szCs w:val="32"/>
          <w:highlight w:val="none"/>
          <w:lang w:eastAsia="zh-CN"/>
        </w:rPr>
        <w:t>中共重庆市开州区委社会工作部（本级）</w:t>
      </w:r>
      <w:r>
        <w:rPr>
          <w:rFonts w:hint="default" w:ascii="Times New Roman" w:hAnsi="Times New Roman" w:eastAsia="方正仿宋_GBK" w:cs="Times New Roman"/>
          <w:spacing w:val="-6"/>
          <w:sz w:val="32"/>
          <w:szCs w:val="32"/>
          <w:highlight w:val="none"/>
        </w:rPr>
        <w:t>本年支出预算总表</w:t>
      </w:r>
    </w:p>
    <w:p w14:paraId="71D22E72">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财政拨款收支预算总表</w:t>
      </w:r>
    </w:p>
    <w:p w14:paraId="7730E418">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本年一般公共预算支出预算表</w:t>
      </w:r>
    </w:p>
    <w:p w14:paraId="58E21E96">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一般公共预算基本支出预算表</w:t>
      </w:r>
    </w:p>
    <w:p w14:paraId="51C3FAA4">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一般公共预算“三公”经费支出预算表</w:t>
      </w:r>
    </w:p>
    <w:p w14:paraId="149B9CEE">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政府性基金预算支出预算表</w:t>
      </w:r>
    </w:p>
    <w:p w14:paraId="4EFC7153">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国有资本经营预算支出预算表</w:t>
      </w:r>
    </w:p>
    <w:p w14:paraId="7536E41E">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项目支出表</w:t>
      </w:r>
    </w:p>
    <w:p w14:paraId="7304B4D2">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eastAsia="方正仿宋_GBK"/>
          <w:sz w:val="32"/>
          <w:szCs w:val="32"/>
          <w:highlight w:val="none"/>
          <w:lang w:eastAsia="zh-CN"/>
        </w:rPr>
        <w:t>中共重庆市开州区委社会工作部（本级）</w:t>
      </w:r>
      <w:r>
        <w:rPr>
          <w:rFonts w:hint="default" w:ascii="Times New Roman" w:hAnsi="Times New Roman" w:eastAsia="方正仿宋_GBK" w:cs="Times New Roman"/>
          <w:sz w:val="32"/>
          <w:szCs w:val="32"/>
          <w:highlight w:val="none"/>
        </w:rPr>
        <w:t>项目绩效目标表</w:t>
      </w:r>
    </w:p>
    <w:p w14:paraId="3087C3E8">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70C6D131">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r>
        <w:rPr>
          <w:rFonts w:hint="default" w:ascii="Times New Roman" w:hAnsi="Times New Roman" w:eastAsia="方正仿宋_GBK" w:cs="Times New Roman"/>
          <w:b/>
          <w:bCs/>
          <w:sz w:val="32"/>
          <w:szCs w:val="32"/>
          <w:highlight w:val="none"/>
        </w:rPr>
        <w:t>注：上述表格样表详见附表《中共重庆市开州区委社会工作部（本级）</w:t>
      </w:r>
      <w:r>
        <w:rPr>
          <w:rFonts w:hint="default" w:ascii="Times New Roman" w:hAnsi="Times New Roman" w:eastAsia="方正仿宋_GBK" w:cs="Times New Roman"/>
          <w:b/>
          <w:bCs/>
          <w:sz w:val="32"/>
          <w:szCs w:val="32"/>
          <w:highlight w:val="none"/>
          <w:lang w:val="en-US" w:eastAsia="zh-CN"/>
        </w:rPr>
        <w:t>2026</w:t>
      </w:r>
      <w:r>
        <w:rPr>
          <w:rFonts w:hint="default" w:ascii="Times New Roman" w:hAnsi="Times New Roman" w:eastAsia="方正仿宋_GBK" w:cs="Times New Roman"/>
          <w:b/>
          <w:bCs/>
          <w:sz w:val="32"/>
          <w:szCs w:val="32"/>
          <w:highlight w:val="none"/>
        </w:rPr>
        <w:t>年部门预算公开报表》</w:t>
      </w:r>
    </w:p>
    <w:p w14:paraId="7AD59553">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10CC5CCD">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68C7177D">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50169FB8">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14:paraId="784F0FCB">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18202B6E">
      <w:pPr>
        <w:keepNext w:val="0"/>
        <w:keepLines w:val="0"/>
        <w:pageBreakBefore w:val="0"/>
        <w:widowControl w:val="0"/>
        <w:kinsoku/>
        <w:wordWrap/>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14:paraId="3A5315F7">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529825E1">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14:paraId="493AA5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1.研究相关理论、政策和规划，组织实施相关法规规章及规范性文件。深入调查研究，及时向区委报告工作情况并提出建议。统筹推进社会工作领域改革工作。</w:t>
      </w:r>
    </w:p>
    <w:p w14:paraId="36A730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统筹指导群众利益协调、诉求表达、矛盾调处、权益保障等人民信访工作，协调解决人民群众急难愁盼的重大问题。指导人民建议征集工作，负责征集、办理公民、法人和其他组织提出的意见建议，向区委、区政府及时反映公民、法人和其他组织提出的重要意见建议。</w:t>
      </w:r>
    </w:p>
    <w:p w14:paraId="18B162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统筹推进党建引领基层治理和基层政权建设，健全和落实党建引领基层治理领导体制和工作机制，协调推进城乡社区治理体系和治理能力建设，统筹推进基层智治工作，推动基层民主政治建设，指导监督基层群众自治制度的有效实施，健全基层群众自治机制。</w:t>
      </w:r>
    </w:p>
    <w:p w14:paraId="56EA8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4.指导全区性社会组织党建工作，统一领导全区行业协会商会党的工作，协调推动行业协会商会深化改革和转型发展。</w:t>
      </w:r>
    </w:p>
    <w:p w14:paraId="4EA71F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指导混合所有制企业、非公有制企业和新经济组织、新社会组织、新就业群体党建工作，指导协调相关企业单位、社会组织、就业群体中党员的教育、管理、监督和服务工作，研究完善相关领域群众利益协调机制。</w:t>
      </w:r>
    </w:p>
    <w:p w14:paraId="0AE035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6.负责全区志愿服务工作的统筹规划、协调指导、督促检查和经验推广。指导社会工作人才队伍建设。联系指导重庆市开州区志愿者协会。</w:t>
      </w:r>
    </w:p>
    <w:p w14:paraId="37E6D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eastAsia="方正仿宋_GBK"/>
          <w:sz w:val="32"/>
          <w:highlight w:val="none"/>
        </w:rPr>
      </w:pPr>
      <w:r>
        <w:rPr>
          <w:rFonts w:hint="eastAsia" w:ascii="方正仿宋_GBK" w:hAnsi="方正仿宋_GBK" w:eastAsia="方正仿宋_GBK" w:cs="方正仿宋_GBK"/>
          <w:b w:val="0"/>
          <w:bCs w:val="0"/>
          <w:color w:val="auto"/>
          <w:sz w:val="32"/>
          <w:szCs w:val="32"/>
          <w:lang w:val="en-US" w:eastAsia="zh-CN"/>
        </w:rPr>
        <w:t>7.完成区委交办的其他任务。</w:t>
      </w:r>
    </w:p>
    <w:p w14:paraId="2F457189">
      <w:pPr>
        <w:pStyle w:val="9"/>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14:paraId="160662FF">
      <w:pPr>
        <w:pStyle w:val="9"/>
        <w:tabs>
          <w:tab w:val="center" w:pos="4153"/>
          <w:tab w:val="left" w:pos="7275"/>
        </w:tabs>
        <w:spacing w:line="600" w:lineRule="exact"/>
        <w:ind w:firstLine="640"/>
        <w:jc w:val="left"/>
        <w:rPr>
          <w:rFonts w:ascii="Times New Roman" w:hAnsi="Times New Roman" w:eastAsia="方正仿宋_GBK"/>
          <w:sz w:val="32"/>
          <w:highlight w:val="none"/>
        </w:rPr>
      </w:pPr>
      <w:r>
        <w:rPr>
          <w:rFonts w:ascii="Times New Roman" w:hAnsi="Times New Roman" w:eastAsia="方正仿宋_GBK"/>
          <w:sz w:val="32"/>
          <w:highlight w:val="none"/>
        </w:rPr>
        <w:t>单位内设</w:t>
      </w:r>
      <w:r>
        <w:rPr>
          <w:rFonts w:hint="eastAsia" w:ascii="Times New Roman" w:hAnsi="Times New Roman" w:eastAsia="方正仿宋_GBK"/>
          <w:sz w:val="32"/>
          <w:highlight w:val="none"/>
          <w:lang w:val="en-US" w:eastAsia="zh-CN"/>
        </w:rPr>
        <w:t>5个科室</w:t>
      </w:r>
      <w:r>
        <w:rPr>
          <w:rFonts w:ascii="Times New Roman" w:hAnsi="Times New Roman" w:eastAsia="方正仿宋_GBK"/>
          <w:sz w:val="32"/>
          <w:highlight w:val="none"/>
        </w:rPr>
        <w:t>，分别是</w:t>
      </w:r>
      <w:r>
        <w:rPr>
          <w:rFonts w:hint="eastAsia" w:ascii="Times New Roman" w:hAnsi="Times New Roman" w:eastAsia="方正仿宋_GBK"/>
          <w:sz w:val="32"/>
          <w:highlight w:val="none"/>
          <w:lang w:eastAsia="zh-CN"/>
        </w:rPr>
        <w:t>办公室、基层治理科、“两企三新”党建科、“志愿服务和社会工作人才科”</w:t>
      </w:r>
      <w:r>
        <w:rPr>
          <w:rFonts w:ascii="Times New Roman" w:hAnsi="Times New Roman" w:eastAsia="方正仿宋_GBK"/>
          <w:sz w:val="32"/>
          <w:highlight w:val="none"/>
        </w:rPr>
        <w:t>。</w:t>
      </w:r>
    </w:p>
    <w:p w14:paraId="28EE5495">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5BB76CD1">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708.13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708.13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275.76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一是人员</w:t>
      </w:r>
      <w:r>
        <w:rPr>
          <w:rFonts w:hint="default" w:ascii="Times New Roman" w:hAnsi="Times New Roman" w:eastAsia="方正仿宋_GBK" w:cs="Times New Roman"/>
          <w:sz w:val="32"/>
          <w:highlight w:val="none"/>
        </w:rPr>
        <w:t>经费拨款增</w:t>
      </w:r>
      <w:r>
        <w:rPr>
          <w:rFonts w:hint="eastAsia" w:ascii="Times New Roman" w:hAnsi="Times New Roman" w:eastAsia="方正仿宋_GBK" w:cs="Times New Roman"/>
          <w:sz w:val="32"/>
          <w:highlight w:val="none"/>
          <w:lang w:eastAsia="zh-CN"/>
        </w:rPr>
        <w:t>加</w:t>
      </w:r>
      <w:r>
        <w:rPr>
          <w:rFonts w:hint="eastAsia" w:ascii="Times New Roman" w:hAnsi="Times New Roman" w:eastAsia="方正仿宋_GBK" w:cs="Times New Roman"/>
          <w:sz w:val="32"/>
          <w:highlight w:val="none"/>
          <w:lang w:val="en-US" w:eastAsia="zh-CN"/>
        </w:rPr>
        <w:t>63.1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、公用经费增加</w:t>
      </w:r>
      <w:r>
        <w:rPr>
          <w:rFonts w:hint="eastAsia" w:ascii="Times New Roman" w:hAnsi="Times New Roman" w:eastAsia="方正仿宋_GBK" w:cs="Times New Roman"/>
          <w:sz w:val="32"/>
          <w:highlight w:val="none"/>
          <w:lang w:val="en-US" w:eastAsia="zh-CN"/>
        </w:rPr>
        <w:t>7.18万元，原因是2026年度新增工作人员2名，加之2026年职工工资正常调资；二是项目经费增加205.49万元，原因是2025年本单位开展新兴领域党组织“两个覆盖”攻坚，全区非公经济企业和社会组织党组织数量有较大幅度增加，因此相应的活动经费和党组织书记红色津贴增加较多；2025年度全区社会工作职业资格证新获证人数比2024年度有较大幅度增加，因此对获证人员的一次性补助经费有大幅增加</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2026年全区村（居）委要进行5年一次的换届选举，参照上一次换届实际费用支出，2026年新增村（居）委换届工作项目预算10万元。</w:t>
      </w:r>
    </w:p>
    <w:p w14:paraId="3D7DD0C6">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708.13</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638.04</w:t>
      </w:r>
      <w:r>
        <w:rPr>
          <w:rFonts w:hint="default" w:ascii="Times New Roman" w:hAnsi="Times New Roman" w:eastAsia="方正仿宋_GBK" w:cs="Times New Roman"/>
          <w:sz w:val="32"/>
          <w:highlight w:val="none"/>
        </w:rPr>
        <w:t>万元，教育支出预算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34.57</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16.44</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19.09</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275.76</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70.28</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205.49</w:t>
      </w:r>
      <w:r>
        <w:rPr>
          <w:rFonts w:hint="default" w:ascii="Times New Roman" w:hAnsi="Times New Roman" w:eastAsia="方正仿宋_GBK" w:cs="Times New Roman"/>
          <w:sz w:val="32"/>
          <w:highlight w:val="none"/>
        </w:rPr>
        <w:t>万元。</w:t>
      </w:r>
    </w:p>
    <w:p w14:paraId="2CE51FA6">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3108B72A">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708.13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708.13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275.76</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265.69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70.28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2026年度新增工作人员2名，加之2026年职工工资正常调资</w:t>
      </w:r>
      <w:r>
        <w:rPr>
          <w:rFonts w:hint="default" w:ascii="Times New Roman" w:hAnsi="Times New Roman" w:eastAsia="方正仿宋_GBK" w:cs="Times New Roman"/>
          <w:sz w:val="32"/>
          <w:highlight w:val="none"/>
        </w:rPr>
        <w:t>，主要用于保障</w:t>
      </w:r>
      <w:r>
        <w:rPr>
          <w:rFonts w:eastAsia="方正仿宋_GBK"/>
          <w:sz w:val="32"/>
          <w:highlight w:val="none"/>
        </w:rPr>
        <w:t>职人员工资福利及社会保险缴费，保障部门正常运转的各项商品服务支出</w:t>
      </w:r>
      <w:r>
        <w:rPr>
          <w:rFonts w:hint="default" w:ascii="Times New Roman" w:hAnsi="Times New Roman" w:eastAsia="方正仿宋_GBK" w:cs="Times New Roman"/>
          <w:sz w:val="32"/>
          <w:highlight w:val="none"/>
        </w:rPr>
        <w:t>等；项目支出</w:t>
      </w:r>
      <w:r>
        <w:rPr>
          <w:rFonts w:hint="eastAsia" w:ascii="Times New Roman" w:hAnsi="Times New Roman" w:eastAsia="方正仿宋_GBK" w:cs="Times New Roman"/>
          <w:sz w:val="32"/>
          <w:highlight w:val="none"/>
          <w:lang w:val="en-US" w:eastAsia="zh-CN"/>
        </w:rPr>
        <w:t>442.45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205.49</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2025年本单位开展新兴领域党组织“两个覆盖”攻坚，全区非公经济企业和社会组织党组织数量有较大幅度增加，因此相应的活动经费和党组织书记红色津贴增加较多；2025年度全区社会工作职业资格证新获证人数比2024年度有较大幅度增加，因此对获证人员的一次性补助经费有大幅增加；</w:t>
      </w:r>
      <w:r>
        <w:rPr>
          <w:rFonts w:hint="eastAsia" w:ascii="Times New Roman" w:hAnsi="Times New Roman" w:eastAsia="方正仿宋_GBK" w:cs="Times New Roman"/>
          <w:b/>
          <w:bCs/>
          <w:sz w:val="32"/>
          <w:highlight w:val="none"/>
          <w:lang w:val="en-US" w:eastAsia="zh-CN"/>
        </w:rPr>
        <w:t>三是</w:t>
      </w:r>
      <w:r>
        <w:rPr>
          <w:rFonts w:hint="eastAsia" w:ascii="Times New Roman" w:hAnsi="Times New Roman" w:eastAsia="方正仿宋_GBK" w:cs="Times New Roman"/>
          <w:sz w:val="32"/>
          <w:highlight w:val="none"/>
          <w:lang w:val="en-US" w:eastAsia="zh-CN"/>
        </w:rPr>
        <w:t>2026年全区村（居）委要进行5年一次的换届选举，参照上一次换届实际费用支出，2026年新增村（居）委换届工作项目预算10万元。</w:t>
      </w:r>
      <w:r>
        <w:rPr>
          <w:rFonts w:hint="default" w:ascii="Times New Roman" w:hAnsi="Times New Roman" w:eastAsia="方正仿宋_GBK" w:cs="Times New Roman"/>
          <w:sz w:val="32"/>
          <w:highlight w:val="none"/>
        </w:rPr>
        <w:t>主要用于</w:t>
      </w:r>
      <w:r>
        <w:rPr>
          <w:rFonts w:hint="eastAsia" w:eastAsia="方正仿宋_GBK"/>
          <w:sz w:val="32"/>
          <w:highlight w:val="none"/>
        </w:rPr>
        <w:t>获</w:t>
      </w:r>
      <w:r>
        <w:rPr>
          <w:rFonts w:hint="eastAsia" w:eastAsia="方正仿宋_GBK"/>
          <w:sz w:val="32"/>
          <w:highlight w:val="none"/>
          <w:lang w:eastAsia="zh-CN"/>
        </w:rPr>
        <w:t>社会工作专业资格证</w:t>
      </w:r>
      <w:r>
        <w:rPr>
          <w:rFonts w:hint="eastAsia" w:eastAsia="方正仿宋_GBK"/>
          <w:sz w:val="32"/>
          <w:highlight w:val="none"/>
        </w:rPr>
        <w:t>人员一次性奖励及持证社区工作者补贴</w:t>
      </w:r>
      <w:r>
        <w:rPr>
          <w:rFonts w:hint="eastAsia" w:eastAsia="方正仿宋_GBK"/>
          <w:sz w:val="32"/>
          <w:highlight w:val="none"/>
          <w:lang w:eastAsia="zh-CN"/>
        </w:rPr>
        <w:t>、非公经济组织和社会组织党组织书记红色津贴、非公经济组织和社会组织党组织活动经费补助、非公经济组织和社会组织党组织示范点补助、专职党建指导员补贴、党建引领基层治理建设、“两企三新”组织党建工作、人民建议意见征集专项活动、清廉村居建设、社会工作专项培训、志愿服务活动及全区村（居）委换届</w:t>
      </w:r>
      <w:r>
        <w:rPr>
          <w:rFonts w:eastAsia="方正仿宋_GBK"/>
          <w:sz w:val="32"/>
          <w:highlight w:val="none"/>
        </w:rPr>
        <w:t>等重点工作</w:t>
      </w:r>
      <w:r>
        <w:rPr>
          <w:rFonts w:hint="default" w:ascii="Times New Roman" w:hAnsi="Times New Roman" w:eastAsia="方正仿宋_GBK" w:cs="Times New Roman"/>
          <w:sz w:val="32"/>
          <w:highlight w:val="none"/>
        </w:rPr>
        <w:t>。</w:t>
      </w:r>
    </w:p>
    <w:p w14:paraId="487AD09D">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eastAsia="方正仿宋_GBK"/>
          <w:sz w:val="32"/>
          <w:highlight w:val="none"/>
          <w:lang w:eastAsia="zh-CN"/>
        </w:rPr>
        <w:t>中共重庆市开州区委社会工作部（本级）</w:t>
      </w:r>
      <w:r>
        <w:rPr>
          <w:rFonts w:hint="eastAsia" w:eastAsia="方正仿宋_GBK"/>
          <w:sz w:val="32"/>
          <w:highlight w:val="none"/>
          <w:lang w:val="en-US" w:eastAsia="zh-CN"/>
        </w:rPr>
        <w:t>2026</w:t>
      </w:r>
      <w:r>
        <w:rPr>
          <w:rFonts w:eastAsia="方正仿宋_GBK"/>
          <w:sz w:val="32"/>
          <w:highlight w:val="none"/>
        </w:rPr>
        <w:t>年无使用政府性基金预算拨款安排的</w:t>
      </w:r>
      <w:r>
        <w:rPr>
          <w:rFonts w:hint="eastAsia" w:eastAsia="方正仿宋_GBK"/>
          <w:sz w:val="32"/>
          <w:highlight w:val="none"/>
          <w:lang w:eastAsia="zh-CN"/>
        </w:rPr>
        <w:t>支出</w:t>
      </w:r>
    </w:p>
    <w:p w14:paraId="79634429">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13E77131">
      <w:pPr>
        <w:keepNext w:val="0"/>
        <w:keepLines w:val="0"/>
        <w:pageBreakBefore w:val="0"/>
        <w:widowControl w:val="0"/>
        <w:kinsoku/>
        <w:wordWrap/>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3.5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年或增加</w:t>
      </w:r>
      <w:r>
        <w:rPr>
          <w:rFonts w:hint="eastAsia" w:ascii="Times New Roman" w:hAnsi="Times New Roman" w:eastAsia="方正仿宋_GBK" w:cs="Times New Roman"/>
          <w:sz w:val="32"/>
          <w:highlight w:val="none"/>
          <w:lang w:val="en-US" w:eastAsia="zh-CN"/>
        </w:rPr>
        <w:t>3.5</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一致</w:t>
      </w:r>
      <w:r>
        <w:rPr>
          <w:rFonts w:hint="default" w:ascii="Times New Roman" w:hAnsi="Times New Roman" w:eastAsia="方正仿宋_GBK" w:cs="Times New Roman"/>
          <w:sz w:val="32"/>
          <w:highlight w:val="none"/>
        </w:rPr>
        <w:t xml:space="preserve">；公务接待费  </w:t>
      </w:r>
      <w:r>
        <w:rPr>
          <w:rFonts w:hint="eastAsia" w:ascii="Times New Roman" w:hAnsi="Times New Roman" w:eastAsia="方正仿宋_GBK" w:cs="Times New Roman"/>
          <w:sz w:val="32"/>
          <w:highlight w:val="none"/>
          <w:lang w:val="en-US" w:eastAsia="zh-CN"/>
        </w:rPr>
        <w:t>0.5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年或增加</w:t>
      </w:r>
      <w:r>
        <w:rPr>
          <w:rFonts w:hint="eastAsia" w:ascii="Times New Roman" w:hAnsi="Times New Roman" w:eastAsia="方正仿宋_GBK" w:cs="Times New Roman"/>
          <w:sz w:val="32"/>
          <w:highlight w:val="none"/>
          <w:lang w:val="en-US" w:eastAsia="zh-CN"/>
        </w:rPr>
        <w:t>0.5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本单位</w:t>
      </w:r>
      <w:r>
        <w:rPr>
          <w:rFonts w:hint="eastAsia" w:ascii="Times New Roman" w:hAnsi="Times New Roman" w:eastAsia="方正仿宋_GBK" w:cs="Times New Roman"/>
          <w:sz w:val="32"/>
          <w:highlight w:val="none"/>
          <w:lang w:val="en-US" w:eastAsia="zh-CN"/>
        </w:rPr>
        <w:t>2025年实际产生接待费1笔，为保障单位正常运行和支出，因此2026年预算编制公务接待费0.5万元</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本单位公车是</w:t>
      </w:r>
      <w:r>
        <w:rPr>
          <w:rFonts w:hint="eastAsia" w:ascii="Times New Roman" w:hAnsi="Times New Roman" w:eastAsia="方正仿宋_GBK" w:cs="Times New Roman"/>
          <w:sz w:val="32"/>
          <w:highlight w:val="none"/>
          <w:lang w:val="en-US" w:eastAsia="zh-CN"/>
        </w:rPr>
        <w:t>2024年12月由机关事务中心划拨，在编制2025年度预算时本单位尚无公车</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lang w:val="en-US" w:eastAsia="zh-CN"/>
        </w:rPr>
        <w:t>2025年一致</w:t>
      </w:r>
      <w:r>
        <w:rPr>
          <w:rFonts w:hint="default" w:ascii="Times New Roman" w:hAnsi="Times New Roman" w:eastAsia="方正仿宋_GBK" w:cs="Times New Roman"/>
          <w:sz w:val="32"/>
          <w:highlight w:val="none"/>
        </w:rPr>
        <w:t>。</w:t>
      </w:r>
    </w:p>
    <w:p w14:paraId="1D103733">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139832A5">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21.85</w:t>
      </w:r>
      <w:r>
        <w:rPr>
          <w:rFonts w:hint="default" w:ascii="Times New Roman" w:hAnsi="Times New Roman" w:eastAsia="方正仿宋_GBK" w:cs="Times New Roman"/>
          <w:sz w:val="32"/>
          <w:highlight w:val="none"/>
        </w:rPr>
        <w:t>万元，比上年增加</w:t>
      </w:r>
      <w:r>
        <w:rPr>
          <w:rFonts w:hint="eastAsia" w:ascii="Times New Roman" w:hAnsi="Times New Roman" w:eastAsia="方正仿宋_GBK" w:cs="Times New Roman"/>
          <w:sz w:val="32"/>
          <w:highlight w:val="none"/>
          <w:lang w:val="en-US" w:eastAsia="zh-CN"/>
        </w:rPr>
        <w:t>7.18</w:t>
      </w:r>
      <w:r>
        <w:rPr>
          <w:rFonts w:hint="default" w:ascii="Times New Roman" w:hAnsi="Times New Roman" w:eastAsia="方正仿宋_GBK" w:cs="Times New Roman"/>
          <w:sz w:val="32"/>
          <w:highlight w:val="none"/>
        </w:rPr>
        <w:t>万元，主要原因为</w:t>
      </w:r>
      <w:r>
        <w:rPr>
          <w:rFonts w:hint="eastAsia" w:ascii="Times New Roman" w:hAnsi="Times New Roman" w:eastAsia="方正仿宋_GBK" w:cs="Times New Roman"/>
          <w:sz w:val="32"/>
          <w:highlight w:val="none"/>
          <w:lang w:eastAsia="zh-CN"/>
        </w:rPr>
        <w:t>本单位</w:t>
      </w:r>
      <w:r>
        <w:rPr>
          <w:rFonts w:hint="eastAsia" w:ascii="Times New Roman" w:hAnsi="Times New Roman" w:eastAsia="方正仿宋_GBK" w:cs="Times New Roman"/>
          <w:sz w:val="32"/>
          <w:highlight w:val="none"/>
          <w:lang w:val="en-US" w:eastAsia="zh-CN"/>
        </w:rPr>
        <w:t>2026年新增2026年度新增工作人员2名</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14:paraId="50A232EF">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4423EFA8">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442.45</w:t>
      </w:r>
      <w:r>
        <w:rPr>
          <w:rFonts w:hint="default" w:ascii="Times New Roman" w:hAnsi="Times New Roman" w:eastAsia="方正仿宋_GBK" w:cs="Times New Roman"/>
          <w:color w:val="000000"/>
          <w:sz w:val="32"/>
          <w:highlight w:val="none"/>
        </w:rPr>
        <w:t>万元。</w:t>
      </w:r>
    </w:p>
    <w:p w14:paraId="6530BB95">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w:t>
      </w:r>
      <w:r>
        <w:rPr>
          <w:rFonts w:hint="eastAsia" w:ascii="Times New Roman" w:hAnsi="Times New Roman" w:eastAsia="方正仿宋_GBK" w:cs="Times New Roman"/>
          <w:color w:val="000000"/>
          <w:sz w:val="32"/>
          <w:highlight w:val="none"/>
          <w:lang w:eastAsia="zh-CN"/>
        </w:rPr>
        <w:t>未</w:t>
      </w:r>
      <w:r>
        <w:rPr>
          <w:rFonts w:hint="default" w:ascii="Times New Roman" w:hAnsi="Times New Roman" w:eastAsia="方正仿宋_GBK" w:cs="Times New Roman"/>
          <w:color w:val="000000"/>
          <w:sz w:val="32"/>
          <w:highlight w:val="none"/>
        </w:rPr>
        <w:t>安排购置车辆。</w:t>
      </w:r>
    </w:p>
    <w:p w14:paraId="6AED4B51">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六、专业性名词解释（纳入向社会公开范围的部门必须填写！）</w:t>
      </w:r>
    </w:p>
    <w:p w14:paraId="5C7F61E0">
      <w:pPr>
        <w:pStyle w:val="9"/>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00745C7F">
      <w:pPr>
        <w:pStyle w:val="9"/>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20E88839">
      <w:pPr>
        <w:pStyle w:val="9"/>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2B1BF53E">
      <w:pPr>
        <w:pStyle w:val="9"/>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70FC2AB3">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12B8B4">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14:paraId="2931ED28">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14:paraId="062D1A63">
      <w:pPr>
        <w:pStyle w:val="2"/>
        <w:rPr>
          <w:rFonts w:hint="default" w:ascii="Times New Roman" w:hAnsi="Times New Roman" w:eastAsia="方正小标宋_GBK" w:cs="Times New Roman"/>
          <w:sz w:val="44"/>
          <w:szCs w:val="44"/>
          <w:highlight w:val="none"/>
        </w:rPr>
      </w:pPr>
    </w:p>
    <w:p w14:paraId="788900FC">
      <w:pPr>
        <w:pStyle w:val="3"/>
        <w:rPr>
          <w:rFonts w:hint="default" w:ascii="Times New Roman" w:hAnsi="Times New Roman" w:eastAsia="方正小标宋_GBK" w:cs="Times New Roman"/>
          <w:sz w:val="44"/>
          <w:szCs w:val="44"/>
          <w:highlight w:val="none"/>
        </w:rPr>
      </w:pPr>
    </w:p>
    <w:p w14:paraId="738F2F43">
      <w:pPr>
        <w:rPr>
          <w:rFonts w:hint="default" w:ascii="Times New Roman" w:hAnsi="Times New Roman" w:eastAsia="方正小标宋_GBK" w:cs="Times New Roman"/>
          <w:sz w:val="44"/>
          <w:szCs w:val="44"/>
          <w:highlight w:val="none"/>
        </w:rPr>
      </w:pPr>
    </w:p>
    <w:p w14:paraId="5EBCB0CF">
      <w:pPr>
        <w:pStyle w:val="2"/>
        <w:rPr>
          <w:rFonts w:hint="default" w:ascii="Times New Roman" w:hAnsi="Times New Roman" w:eastAsia="方正小标宋_GBK" w:cs="Times New Roman"/>
          <w:sz w:val="44"/>
          <w:szCs w:val="44"/>
          <w:highlight w:val="none"/>
        </w:rPr>
      </w:pPr>
    </w:p>
    <w:p w14:paraId="595BA44A">
      <w:pPr>
        <w:pStyle w:val="3"/>
        <w:rPr>
          <w:rFonts w:hint="default" w:ascii="Times New Roman" w:hAnsi="Times New Roman" w:eastAsia="方正小标宋_GBK" w:cs="Times New Roman"/>
          <w:sz w:val="44"/>
          <w:szCs w:val="44"/>
          <w:highlight w:val="none"/>
        </w:rPr>
      </w:pPr>
    </w:p>
    <w:p w14:paraId="02765604">
      <w:pPr>
        <w:rPr>
          <w:rFonts w:hint="default" w:ascii="Times New Roman" w:hAnsi="Times New Roman" w:eastAsia="方正小标宋_GBK" w:cs="Times New Roman"/>
          <w:sz w:val="44"/>
          <w:szCs w:val="44"/>
          <w:highlight w:val="none"/>
        </w:rPr>
      </w:pPr>
    </w:p>
    <w:p w14:paraId="4E86886B">
      <w:pPr>
        <w:pStyle w:val="2"/>
        <w:rPr>
          <w:rFonts w:hint="default" w:ascii="Times New Roman" w:hAnsi="Times New Roman" w:eastAsia="方正小标宋_GBK" w:cs="Times New Roman"/>
          <w:sz w:val="44"/>
          <w:szCs w:val="44"/>
          <w:highlight w:val="none"/>
        </w:rPr>
      </w:pPr>
    </w:p>
    <w:p w14:paraId="7BF7DC38">
      <w:pPr>
        <w:pStyle w:val="3"/>
        <w:rPr>
          <w:rFonts w:hint="default" w:ascii="Times New Roman" w:hAnsi="Times New Roman" w:eastAsia="方正小标宋_GBK" w:cs="Times New Roman"/>
          <w:sz w:val="44"/>
          <w:szCs w:val="44"/>
          <w:highlight w:val="none"/>
        </w:rPr>
      </w:pPr>
    </w:p>
    <w:p w14:paraId="52FFC19D">
      <w:pPr>
        <w:rPr>
          <w:rFonts w:hint="default" w:ascii="Times New Roman" w:hAnsi="Times New Roman" w:eastAsia="方正小标宋_GBK" w:cs="Times New Roman"/>
          <w:sz w:val="44"/>
          <w:szCs w:val="44"/>
          <w:highlight w:val="none"/>
        </w:rPr>
      </w:pPr>
    </w:p>
    <w:p w14:paraId="3FCCAF29">
      <w:pPr>
        <w:pStyle w:val="2"/>
        <w:rPr>
          <w:rFonts w:hint="default" w:ascii="Times New Roman" w:hAnsi="Times New Roman" w:eastAsia="方正小标宋_GBK" w:cs="Times New Roman"/>
          <w:sz w:val="44"/>
          <w:szCs w:val="44"/>
          <w:highlight w:val="none"/>
        </w:rPr>
      </w:pPr>
    </w:p>
    <w:p w14:paraId="41830041">
      <w:pPr>
        <w:pStyle w:val="3"/>
        <w:rPr>
          <w:rFonts w:hint="default" w:ascii="Times New Roman" w:hAnsi="Times New Roman" w:eastAsia="方正小标宋_GBK" w:cs="Times New Roman"/>
          <w:sz w:val="44"/>
          <w:szCs w:val="44"/>
          <w:highlight w:val="none"/>
        </w:rPr>
      </w:pPr>
    </w:p>
    <w:p w14:paraId="535CE0DB">
      <w:pPr>
        <w:rPr>
          <w:rFonts w:hint="default" w:ascii="Times New Roman" w:hAnsi="Times New Roman" w:eastAsia="方正小标宋_GBK" w:cs="Times New Roman"/>
          <w:sz w:val="44"/>
          <w:szCs w:val="44"/>
          <w:highlight w:val="none"/>
        </w:rPr>
      </w:pPr>
    </w:p>
    <w:p w14:paraId="39646D30">
      <w:pPr>
        <w:pStyle w:val="2"/>
        <w:rPr>
          <w:rFonts w:hint="default" w:ascii="Times New Roman" w:hAnsi="Times New Roman" w:eastAsia="方正小标宋_GBK" w:cs="Times New Roman"/>
          <w:sz w:val="44"/>
          <w:szCs w:val="44"/>
          <w:highlight w:val="none"/>
        </w:rPr>
      </w:pPr>
    </w:p>
    <w:p w14:paraId="63E8E010">
      <w:pPr>
        <w:pStyle w:val="3"/>
        <w:rPr>
          <w:rFonts w:hint="default" w:ascii="Times New Roman" w:hAnsi="Times New Roman" w:eastAsia="方正小标宋_GBK" w:cs="Times New Roman"/>
          <w:sz w:val="44"/>
          <w:szCs w:val="44"/>
          <w:highlight w:val="none"/>
        </w:rPr>
      </w:pPr>
    </w:p>
    <w:p w14:paraId="685CBAD7">
      <w:pPr>
        <w:rPr>
          <w:rFonts w:hint="default" w:ascii="Times New Roman" w:hAnsi="Times New Roman" w:eastAsia="方正小标宋_GBK" w:cs="Times New Roman"/>
          <w:sz w:val="44"/>
          <w:szCs w:val="44"/>
          <w:highlight w:val="none"/>
        </w:rPr>
      </w:pPr>
    </w:p>
    <w:p w14:paraId="4098A0D7">
      <w:pPr>
        <w:pStyle w:val="2"/>
        <w:rPr>
          <w:rFonts w:hint="default" w:ascii="Times New Roman" w:hAnsi="Times New Roman" w:eastAsia="方正小标宋_GBK" w:cs="Times New Roman"/>
          <w:sz w:val="44"/>
          <w:szCs w:val="44"/>
          <w:highlight w:val="none"/>
        </w:rPr>
      </w:pPr>
    </w:p>
    <w:p w14:paraId="70FBB398">
      <w:pPr>
        <w:pStyle w:val="3"/>
        <w:rPr>
          <w:rFonts w:hint="default"/>
        </w:rPr>
      </w:pPr>
    </w:p>
    <w:p w14:paraId="110500F7">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14:paraId="10CC608D">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7E60CCD8">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14:paraId="3B1A5A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中共重庆市开州区委社会工作部（本级）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14:paraId="0697C1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eastAsia="zh-CN"/>
        </w:rPr>
        <w:t>李瑞萍</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52201508</w:t>
      </w:r>
    </w:p>
    <w:p w14:paraId="0E092C2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1651406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0240A141">
      <w:pPr>
        <w:keepNext w:val="0"/>
        <w:keepLines w:val="0"/>
        <w:pageBreakBefore w:val="0"/>
        <w:widowControl w:val="0"/>
        <w:tabs>
          <w:tab w:val="left" w:pos="8610"/>
        </w:tabs>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中共重庆市开州区委社会工作部</w:t>
      </w:r>
    </w:p>
    <w:p w14:paraId="2DC9902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14:paraId="2FA782F9">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10631493">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14:paraId="70A4A476">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14:paraId="75DE0E99">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14:paraId="43EC5096">
      <w:pPr>
        <w:pStyle w:val="2"/>
        <w:rPr>
          <w:rFonts w:hint="default" w:ascii="Times New Roman" w:hAnsi="Times New Roman" w:eastAsia="方正仿宋_GBK" w:cs="Times New Roman"/>
          <w:sz w:val="32"/>
          <w:szCs w:val="32"/>
          <w:highlight w:val="none"/>
        </w:rPr>
      </w:pPr>
    </w:p>
    <w:p w14:paraId="7BE12CC5">
      <w:pPr>
        <w:pStyle w:val="3"/>
        <w:rPr>
          <w:rFonts w:hint="default" w:ascii="Times New Roman" w:hAnsi="Times New Roman" w:eastAsia="方正仿宋_GBK" w:cs="Times New Roman"/>
          <w:sz w:val="32"/>
          <w:szCs w:val="32"/>
          <w:highlight w:val="none"/>
        </w:rPr>
      </w:pPr>
    </w:p>
    <w:p w14:paraId="0A223798">
      <w:pPr>
        <w:pStyle w:val="3"/>
        <w:rPr>
          <w:rFonts w:hint="default"/>
        </w:rPr>
      </w:pPr>
    </w:p>
    <w:p w14:paraId="582282DB">
      <w:pPr>
        <w:rPr>
          <w:rFonts w:hint="eastAsia" w:eastAsia="方正仿宋_GBK"/>
          <w:sz w:val="32"/>
          <w:szCs w:val="32"/>
          <w:highlight w:val="none"/>
        </w:rPr>
      </w:pPr>
    </w:p>
    <w:p w14:paraId="1B7E7B83">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cs="Times New Roman"/>
        </w:rPr>
      </w:pPr>
      <w:r>
        <w:rPr>
          <w:rFonts w:hint="default" w:ascii="Times New Roman" w:hAnsi="Times New Roman" w:eastAsia="方正仿宋_GBK" w:cs="Times New Roman"/>
          <w:sz w:val="28"/>
          <w:szCs w:val="28"/>
        </w:rPr>
        <w:t>中共重庆市开州区委</w:t>
      </w:r>
      <w:r>
        <w:rPr>
          <w:rFonts w:hint="default" w:ascii="Times New Roman" w:hAnsi="Times New Roman" w:eastAsia="方正仿宋_GBK" w:cs="Times New Roman"/>
          <w:sz w:val="28"/>
          <w:szCs w:val="28"/>
          <w:lang w:eastAsia="zh-CN"/>
        </w:rPr>
        <w:t>社会工作部</w:t>
      </w:r>
      <w:r>
        <w:rPr>
          <w:rFonts w:hint="default" w:ascii="Times New Roman" w:hAnsi="Times New Roman" w:eastAsia="方正仿宋_GBK" w:cs="Times New Roman"/>
          <w:sz w:val="28"/>
          <w:szCs w:val="28"/>
        </w:rPr>
        <w:t xml:space="preserve">办公室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ascii="Times New Roman" w:hAnsi="Times New Roman"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11</w:t>
      </w:r>
      <w:bookmarkStart w:id="0" w:name="_GoBack"/>
      <w:bookmarkEnd w:id="0"/>
      <w:r>
        <w:rPr>
          <w:rFonts w:hint="default" w:ascii="Times New Roman" w:hAnsi="Times New Roman" w:eastAsia="方正仿宋_GBK" w:cs="Times New Roman"/>
          <w:sz w:val="28"/>
          <w:szCs w:val="28"/>
        </w:rPr>
        <w:t>日印发</w:t>
      </w:r>
    </w:p>
    <w:sectPr>
      <w:footerReference r:id="rId3" w:type="default"/>
      <w:pgSz w:w="11906" w:h="16838"/>
      <w:pgMar w:top="1984" w:right="1446" w:bottom="1644" w:left="1446"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452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10319">
                          <w:pPr>
                            <w:pStyle w:val="2"/>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10319">
                    <w:pPr>
                      <w:pStyle w:val="2"/>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MWVkMDE5ZWY3NzU5OWEwNTA0Nzk1MzJjZWRlM2MifQ=="/>
  </w:docVars>
  <w:rsids>
    <w:rsidRoot w:val="16C54980"/>
    <w:rsid w:val="01CA216C"/>
    <w:rsid w:val="09150170"/>
    <w:rsid w:val="15EA028F"/>
    <w:rsid w:val="16C54980"/>
    <w:rsid w:val="1D9531D6"/>
    <w:rsid w:val="208C6B12"/>
    <w:rsid w:val="2C96140C"/>
    <w:rsid w:val="2EDC0C65"/>
    <w:rsid w:val="320C360F"/>
    <w:rsid w:val="4961028C"/>
    <w:rsid w:val="4F0F3526"/>
    <w:rsid w:val="55570796"/>
    <w:rsid w:val="59570D64"/>
    <w:rsid w:val="597731B4"/>
    <w:rsid w:val="5A1D1FAE"/>
    <w:rsid w:val="613D1187"/>
    <w:rsid w:val="685A7602"/>
    <w:rsid w:val="6C466E03"/>
    <w:rsid w:val="6FBD596D"/>
    <w:rsid w:val="728F1117"/>
    <w:rsid w:val="72D74F98"/>
    <w:rsid w:val="75A60C51"/>
    <w:rsid w:val="76E1667D"/>
    <w:rsid w:val="7A0F14BB"/>
    <w:rsid w:val="7DD10836"/>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3489</Words>
  <Characters>3798</Characters>
  <Lines>0</Lines>
  <Paragraphs>0</Paragraphs>
  <TotalTime>3</TotalTime>
  <ScaleCrop>false</ScaleCrop>
  <LinksUpToDate>false</LinksUpToDate>
  <CharactersWithSpaces>3874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2026-02-11T07:24:00Z</dcterms:created>
  <dc:creator>Administrator</dc:creator>
  <cp:lastModifiedBy>Administrator</cp:lastModifiedBy>
  <dcterms:modified xsi:type="dcterms:W3CDTF">2026-03-12T08:42:49Z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eyJoZGlkIjoiMzFlMWZhZTRiNTE2ZWE0MGNiZGU4ZThjZWVlOGJkYjUifQ==</vt:lpwstr>
  </property>
  <property fmtid="{D5CDD505-2E9C-101B-9397-08002B2CF9AE}" pid="4" name="ICV">
    <vt:lpwstr>70A4145FD12044CAB54D1005E27652EA_12</vt:lpwstr>
  </property>
</Properties>
</file>