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838A5">
      <w:pPr>
        <w:jc w:val="distribute"/>
        <w:rPr>
          <w:rFonts w:ascii="方正小标宋_GBK" w:hAnsi="宋体" w:eastAsia="方正小标宋_GBK"/>
          <w:bCs/>
          <w:color w:val="FF0000"/>
          <w:w w:val="60"/>
          <w:sz w:val="110"/>
          <w:szCs w:val="110"/>
        </w:rPr>
      </w:pPr>
      <w:r>
        <w:rPr>
          <w:rFonts w:ascii="方正小标宋_GBK" w:hAnsi="宋体" w:eastAsia="方正小标宋_GBK"/>
          <w:b/>
          <w:bCs w:val="0"/>
          <w:color w:val="FF0000"/>
          <w:w w:val="58"/>
          <w:sz w:val="122"/>
          <w:szCs w:val="122"/>
        </w:rPr>
        <w:pict>
          <v:line id="_x0000_s1027" o:spid="_x0000_s1027" o:spt="20" style="position:absolute;left:0pt;margin-left:0.9pt;margin-top:83.3pt;height:0pt;width:440.95pt;mso-position-horizontal-relative:margin;z-index:251660288;mso-width-relative:page;mso-height-relative:page;" stroked="t" coordsize="21600,21600">
            <v:path arrowok="t"/>
            <v:fill focussize="0,0"/>
            <v:stroke weight="4.5pt" color="#FF0000" linestyle="thickThin"/>
            <v:imagedata o:title=""/>
            <o:lock v:ext="edit"/>
          </v:line>
        </w:pict>
      </w:r>
      <w:r>
        <w:rPr>
          <w:rFonts w:hint="eastAsia" w:ascii="方正小标宋_GBK" w:hAnsi="宋体" w:eastAsia="方正小标宋_GBK"/>
          <w:b/>
          <w:bCs w:val="0"/>
          <w:color w:val="FF0000"/>
          <w:w w:val="58"/>
          <w:sz w:val="122"/>
          <w:szCs w:val="122"/>
        </w:rPr>
        <w:t>重庆市开州区精神卫生中心</w:t>
      </w:r>
    </w:p>
    <w:p w14:paraId="0D4823E3">
      <w:pPr>
        <w:rPr>
          <w:rFonts w:ascii="方正仿宋_GBK" w:hAnsi="宋体" w:eastAsia="方正仿宋_GBK"/>
          <w:b/>
          <w:color w:val="C00000"/>
          <w:w w:val="36"/>
          <w:sz w:val="32"/>
          <w:szCs w:val="32"/>
        </w:rPr>
      </w:pPr>
    </w:p>
    <w:p w14:paraId="0A28F8E0">
      <w:pPr>
        <w:pStyle w:val="7"/>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color w:val="000000"/>
          <w:sz w:val="44"/>
          <w:szCs w:val="44"/>
        </w:rPr>
        <w:t>重庆市开州区精神卫生中心</w:t>
      </w:r>
    </w:p>
    <w:p w14:paraId="1BDA34A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_GBK"/>
          <w:sz w:val="44"/>
          <w:szCs w:val="44"/>
          <w:lang w:eastAsia="zh-CN"/>
        </w:rPr>
      </w:pPr>
      <w:r>
        <w:rPr>
          <w:rFonts w:hint="eastAsia" w:ascii="方正小标宋_GBK" w:hAnsi="方正小标宋_GBK" w:eastAsia="方正小标宋_GBK" w:cs="方正小标宋_GBK"/>
          <w:sz w:val="44"/>
          <w:szCs w:val="44"/>
        </w:rPr>
        <w:t>关于2026年部门预算情况公开的公</w:t>
      </w:r>
      <w:r>
        <w:rPr>
          <w:rFonts w:hint="eastAsia" w:ascii="方正小标宋_GBK" w:hAnsi="方正小标宋_GBK" w:eastAsia="方正小标宋_GBK" w:cs="方正小标宋_GBK"/>
          <w:sz w:val="44"/>
          <w:szCs w:val="44"/>
          <w:lang w:eastAsia="zh-CN"/>
        </w:rPr>
        <w:t>示</w:t>
      </w:r>
    </w:p>
    <w:p w14:paraId="25623CB1">
      <w:pPr>
        <w:keepNext w:val="0"/>
        <w:keepLines w:val="0"/>
        <w:pageBreakBefore w:val="0"/>
        <w:widowControl w:val="0"/>
        <w:kinsoku/>
        <w:wordWrap/>
        <w:overflowPunct/>
        <w:topLinePunct w:val="0"/>
        <w:autoSpaceDN/>
        <w:bidi w:val="0"/>
        <w:adjustRightInd/>
        <w:spacing w:line="560" w:lineRule="exact"/>
        <w:jc w:val="center"/>
        <w:textAlignment w:val="auto"/>
        <w:rPr>
          <w:rFonts w:eastAsia="方正小标宋_GBK"/>
          <w:sz w:val="44"/>
          <w:szCs w:val="44"/>
        </w:rPr>
      </w:pPr>
    </w:p>
    <w:p w14:paraId="766EB5DB">
      <w:pPr>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eastAsia="方正仿宋_GBK"/>
          <w:sz w:val="32"/>
          <w:szCs w:val="32"/>
        </w:rPr>
      </w:pPr>
      <w:r>
        <w:rPr>
          <w:rFonts w:eastAsia="方正仿宋_GBK"/>
          <w:sz w:val="32"/>
          <w:szCs w:val="32"/>
        </w:rPr>
        <w:t>按照有关财政预算公开的部署和要求，依据《中华人民共和国政府信息公开条例》（国务院令第492号）和</w:t>
      </w:r>
      <w:r>
        <w:rPr>
          <w:rFonts w:hint="eastAsia" w:eastAsia="方正仿宋_GBK"/>
          <w:sz w:val="32"/>
          <w:szCs w:val="32"/>
        </w:rPr>
        <w:t>重庆市开州区卫生健康委员会</w:t>
      </w:r>
      <w:r>
        <w:rPr>
          <w:rFonts w:eastAsia="方正仿宋_GBK"/>
          <w:sz w:val="32"/>
          <w:szCs w:val="32"/>
        </w:rPr>
        <w:t>《</w:t>
      </w:r>
      <w:r>
        <w:rPr>
          <w:rFonts w:hint="eastAsia" w:eastAsia="方正仿宋_GBK"/>
          <w:sz w:val="32"/>
          <w:szCs w:val="32"/>
        </w:rPr>
        <w:t>关于转下达2026年各单位预算批复的通知</w:t>
      </w:r>
      <w:r>
        <w:rPr>
          <w:rFonts w:eastAsia="方正仿宋_GBK"/>
          <w:sz w:val="32"/>
          <w:szCs w:val="32"/>
        </w:rPr>
        <w:t>》（</w:t>
      </w:r>
      <w:r>
        <w:rPr>
          <w:rFonts w:hint="eastAsia" w:eastAsia="方正仿宋_GBK"/>
          <w:sz w:val="32"/>
          <w:szCs w:val="32"/>
        </w:rPr>
        <w:t>开州卫发</w:t>
      </w:r>
      <w:r>
        <w:rPr>
          <w:rFonts w:eastAsia="方正仿宋_GBK"/>
          <w:sz w:val="32"/>
          <w:szCs w:val="32"/>
        </w:rPr>
        <w:t>〔202</w:t>
      </w:r>
      <w:r>
        <w:rPr>
          <w:rFonts w:hint="eastAsia" w:eastAsia="方正仿宋_GBK"/>
          <w:sz w:val="32"/>
          <w:szCs w:val="32"/>
        </w:rPr>
        <w:t>6</w:t>
      </w:r>
      <w:r>
        <w:rPr>
          <w:rFonts w:eastAsia="方正仿宋_GBK"/>
          <w:sz w:val="32"/>
          <w:szCs w:val="32"/>
        </w:rPr>
        <w:t>〕</w:t>
      </w:r>
      <w:r>
        <w:rPr>
          <w:rFonts w:hint="eastAsia" w:eastAsia="方正仿宋_GBK"/>
          <w:sz w:val="32"/>
          <w:szCs w:val="32"/>
        </w:rPr>
        <w:t>13</w:t>
      </w:r>
      <w:r>
        <w:rPr>
          <w:rFonts w:eastAsia="方正仿宋_GBK"/>
          <w:sz w:val="32"/>
          <w:szCs w:val="32"/>
        </w:rPr>
        <w:t>号）,现将</w:t>
      </w:r>
      <w:r>
        <w:rPr>
          <w:rFonts w:hint="eastAsia" w:eastAsia="方正仿宋_GBK"/>
          <w:sz w:val="32"/>
          <w:szCs w:val="32"/>
        </w:rPr>
        <w:t>重庆市开州区精神卫生中心</w:t>
      </w:r>
      <w:r>
        <w:rPr>
          <w:rFonts w:eastAsia="方正仿宋_GBK"/>
          <w:sz w:val="32"/>
          <w:szCs w:val="32"/>
        </w:rPr>
        <w:t>202</w:t>
      </w:r>
      <w:r>
        <w:rPr>
          <w:rFonts w:hint="eastAsia" w:eastAsia="方正仿宋_GBK"/>
          <w:sz w:val="32"/>
          <w:szCs w:val="32"/>
        </w:rPr>
        <w:t>6</w:t>
      </w:r>
      <w:r>
        <w:rPr>
          <w:rFonts w:eastAsia="方正仿宋_GBK"/>
          <w:sz w:val="32"/>
          <w:szCs w:val="32"/>
        </w:rPr>
        <w:t>年部门预算批复情况公开如下：</w:t>
      </w:r>
    </w:p>
    <w:p w14:paraId="1D1690E8">
      <w:pPr>
        <w:pStyle w:val="8"/>
        <w:keepNext w:val="0"/>
        <w:keepLines w:val="0"/>
        <w:pageBreakBefore w:val="0"/>
        <w:widowControl w:val="0"/>
        <w:kinsoku/>
        <w:wordWrap/>
        <w:overflowPunct/>
        <w:topLinePunct w:val="0"/>
        <w:autoSpaceDN/>
        <w:bidi w:val="0"/>
        <w:adjustRightInd/>
        <w:spacing w:line="560" w:lineRule="exact"/>
        <w:textAlignment w:val="auto"/>
        <w:rPr>
          <w:rFonts w:eastAsia="方正仿宋_GBK"/>
          <w:sz w:val="32"/>
          <w:szCs w:val="32"/>
        </w:rPr>
      </w:pPr>
    </w:p>
    <w:p w14:paraId="4198603D">
      <w:pPr>
        <w:keepNext w:val="0"/>
        <w:keepLines w:val="0"/>
        <w:pageBreakBefore w:val="0"/>
        <w:widowControl w:val="0"/>
        <w:kinsoku/>
        <w:wordWrap/>
        <w:overflowPunct/>
        <w:topLinePunct w:val="0"/>
        <w:autoSpaceDN/>
        <w:bidi w:val="0"/>
        <w:adjustRightInd/>
        <w:spacing w:line="560" w:lineRule="exact"/>
        <w:jc w:val="center"/>
        <w:textAlignment w:val="auto"/>
        <w:rPr>
          <w:rFonts w:ascii="方正小标宋_GBK" w:eastAsia="方正小标宋_GBK"/>
          <w:sz w:val="44"/>
          <w:szCs w:val="44"/>
        </w:rPr>
      </w:pPr>
    </w:p>
    <w:p w14:paraId="0BA9A62C">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方正小标宋_GBK" w:eastAsia="方正小标宋_GBK"/>
          <w:sz w:val="44"/>
          <w:szCs w:val="44"/>
        </w:rPr>
      </w:pPr>
    </w:p>
    <w:p w14:paraId="6856094C">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方正小标宋_GBK" w:eastAsia="方正小标宋_GBK"/>
          <w:sz w:val="44"/>
          <w:szCs w:val="44"/>
        </w:rPr>
      </w:pPr>
    </w:p>
    <w:p w14:paraId="09A3156D">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方正小标宋_GBK" w:eastAsia="方正小标宋_GBK"/>
          <w:sz w:val="44"/>
          <w:szCs w:val="44"/>
        </w:rPr>
      </w:pPr>
    </w:p>
    <w:p w14:paraId="506A6594">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方正小标宋_GBK" w:eastAsia="方正小标宋_GBK"/>
          <w:sz w:val="44"/>
          <w:szCs w:val="44"/>
        </w:rPr>
      </w:pPr>
    </w:p>
    <w:p w14:paraId="2C645B59">
      <w:pPr>
        <w:pStyle w:val="2"/>
        <w:rPr>
          <w:rFonts w:hint="eastAsia" w:ascii="方正小标宋_GBK" w:eastAsia="方正小标宋_GBK"/>
          <w:sz w:val="44"/>
          <w:szCs w:val="44"/>
        </w:rPr>
      </w:pPr>
    </w:p>
    <w:p w14:paraId="6BA76F81">
      <w:pPr>
        <w:pStyle w:val="3"/>
        <w:rPr>
          <w:rFonts w:hint="eastAsia" w:ascii="方正小标宋_GBK" w:eastAsia="方正小标宋_GBK"/>
          <w:sz w:val="44"/>
          <w:szCs w:val="44"/>
        </w:rPr>
      </w:pPr>
    </w:p>
    <w:p w14:paraId="27BB9C26">
      <w:pPr>
        <w:pStyle w:val="4"/>
        <w:rPr>
          <w:rFonts w:hint="eastAsia"/>
        </w:rPr>
      </w:pPr>
    </w:p>
    <w:p w14:paraId="04C9FB9F">
      <w:pPr>
        <w:keepNext w:val="0"/>
        <w:keepLines w:val="0"/>
        <w:pageBreakBefore w:val="0"/>
        <w:widowControl w:val="0"/>
        <w:kinsoku/>
        <w:wordWrap/>
        <w:overflowPunct/>
        <w:topLinePunct w:val="0"/>
        <w:autoSpaceDN/>
        <w:bidi w:val="0"/>
        <w:adjustRightInd/>
        <w:spacing w:line="560" w:lineRule="exact"/>
        <w:jc w:val="center"/>
        <w:textAlignment w:val="auto"/>
        <w:rPr>
          <w:rFonts w:ascii="方正小标宋_GBK" w:eastAsia="方正小标宋_GBK"/>
          <w:sz w:val="44"/>
          <w:szCs w:val="44"/>
        </w:rPr>
      </w:pPr>
      <w:r>
        <w:rPr>
          <w:rFonts w:hint="eastAsia" w:ascii="方正小标宋_GBK" w:eastAsia="方正小标宋_GBK"/>
          <w:sz w:val="44"/>
          <w:szCs w:val="44"/>
        </w:rPr>
        <w:t>目    录</w:t>
      </w:r>
    </w:p>
    <w:p w14:paraId="70DFA234">
      <w:pPr>
        <w:keepNext w:val="0"/>
        <w:keepLines w:val="0"/>
        <w:pageBreakBefore w:val="0"/>
        <w:widowControl w:val="0"/>
        <w:kinsoku/>
        <w:wordWrap/>
        <w:overflowPunct/>
        <w:topLinePunct w:val="0"/>
        <w:autoSpaceDN/>
        <w:bidi w:val="0"/>
        <w:adjustRightInd/>
        <w:spacing w:line="560" w:lineRule="exact"/>
        <w:textAlignment w:val="auto"/>
      </w:pPr>
    </w:p>
    <w:p w14:paraId="434F4ACC">
      <w:pPr>
        <w:keepNext w:val="0"/>
        <w:keepLines w:val="0"/>
        <w:pageBreakBefore w:val="0"/>
        <w:widowControl w:val="0"/>
        <w:kinsoku/>
        <w:wordWrap/>
        <w:overflowPunct/>
        <w:topLinePunct w:val="0"/>
        <w:autoSpaceDN/>
        <w:bidi w:val="0"/>
        <w:adjustRightInd/>
        <w:spacing w:line="560" w:lineRule="exact"/>
        <w:jc w:val="center"/>
        <w:textAlignment w:val="auto"/>
        <w:rPr>
          <w:rFonts w:eastAsia="方正楷体_GBK"/>
          <w:sz w:val="32"/>
          <w:szCs w:val="32"/>
        </w:rPr>
      </w:pPr>
      <w:r>
        <w:rPr>
          <w:rFonts w:eastAsia="方正楷体_GBK"/>
          <w:sz w:val="32"/>
          <w:szCs w:val="32"/>
        </w:rPr>
        <w:t>第一部分：</w:t>
      </w:r>
      <w:r>
        <w:rPr>
          <w:rFonts w:eastAsia="方正仿宋_GBK"/>
          <w:sz w:val="32"/>
          <w:szCs w:val="32"/>
        </w:rPr>
        <w:t>202</w:t>
      </w:r>
      <w:r>
        <w:rPr>
          <w:rFonts w:hint="eastAsia" w:eastAsia="方正仿宋_GBK"/>
          <w:sz w:val="32"/>
          <w:szCs w:val="32"/>
        </w:rPr>
        <w:t>6</w:t>
      </w:r>
      <w:r>
        <w:rPr>
          <w:rFonts w:eastAsia="方正楷体_GBK"/>
          <w:sz w:val="32"/>
          <w:szCs w:val="32"/>
        </w:rPr>
        <w:t>年部门预算情况说明</w:t>
      </w:r>
    </w:p>
    <w:p w14:paraId="12B07DFC">
      <w:pPr>
        <w:keepNext w:val="0"/>
        <w:keepLines w:val="0"/>
        <w:pageBreakBefore w:val="0"/>
        <w:widowControl w:val="0"/>
        <w:kinsoku/>
        <w:wordWrap/>
        <w:overflowPunct/>
        <w:topLinePunct w:val="0"/>
        <w:autoSpaceDN/>
        <w:bidi w:val="0"/>
        <w:adjustRightInd/>
        <w:spacing w:line="560" w:lineRule="exact"/>
        <w:textAlignment w:val="auto"/>
      </w:pPr>
    </w:p>
    <w:p w14:paraId="718BC72C">
      <w:pPr>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eastAsia="方正仿宋_GBK"/>
          <w:sz w:val="32"/>
          <w:szCs w:val="32"/>
        </w:rPr>
      </w:pPr>
      <w:r>
        <w:rPr>
          <w:rFonts w:eastAsia="方正仿宋_GBK"/>
          <w:sz w:val="32"/>
          <w:szCs w:val="32"/>
        </w:rPr>
        <w:t>一、单位基本情况</w:t>
      </w:r>
    </w:p>
    <w:p w14:paraId="0FABD3B8">
      <w:pPr>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eastAsia="方正仿宋_GBK"/>
          <w:sz w:val="32"/>
          <w:szCs w:val="32"/>
        </w:rPr>
      </w:pPr>
      <w:r>
        <w:rPr>
          <w:rFonts w:eastAsia="方正仿宋_GBK"/>
          <w:sz w:val="32"/>
          <w:szCs w:val="32"/>
        </w:rPr>
        <w:t>二、部门收支总体情况</w:t>
      </w:r>
    </w:p>
    <w:p w14:paraId="5CBBE845">
      <w:pPr>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eastAsia="方正仿宋_GBK"/>
          <w:sz w:val="32"/>
          <w:szCs w:val="32"/>
        </w:rPr>
      </w:pPr>
      <w:r>
        <w:rPr>
          <w:rFonts w:eastAsia="方正仿宋_GBK"/>
          <w:sz w:val="32"/>
          <w:szCs w:val="32"/>
        </w:rPr>
        <w:t>三、部门预算情况说明</w:t>
      </w:r>
    </w:p>
    <w:p w14:paraId="6287361E">
      <w:pPr>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eastAsia="方正仿宋_GBK"/>
          <w:sz w:val="32"/>
          <w:szCs w:val="32"/>
        </w:rPr>
      </w:pPr>
      <w:r>
        <w:rPr>
          <w:rFonts w:eastAsia="方正仿宋_GBK"/>
          <w:sz w:val="32"/>
          <w:szCs w:val="32"/>
        </w:rPr>
        <w:t>四、</w:t>
      </w:r>
      <w:r>
        <w:rPr>
          <w:rFonts w:hint="eastAsia" w:ascii="方正仿宋_GBK" w:eastAsia="方正仿宋_GBK"/>
          <w:sz w:val="32"/>
          <w:szCs w:val="32"/>
        </w:rPr>
        <w:t>“三公”经费</w:t>
      </w:r>
      <w:r>
        <w:rPr>
          <w:rFonts w:eastAsia="方正仿宋_GBK"/>
          <w:sz w:val="32"/>
          <w:szCs w:val="32"/>
        </w:rPr>
        <w:t>情况说明</w:t>
      </w:r>
    </w:p>
    <w:p w14:paraId="22AEF436">
      <w:pPr>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eastAsia="方正仿宋_GBK"/>
          <w:sz w:val="32"/>
          <w:szCs w:val="32"/>
        </w:rPr>
      </w:pPr>
      <w:r>
        <w:rPr>
          <w:rFonts w:eastAsia="方正仿宋_GBK"/>
          <w:sz w:val="32"/>
          <w:szCs w:val="32"/>
        </w:rPr>
        <w:t>五、其他重要事项的情况说明</w:t>
      </w:r>
    </w:p>
    <w:p w14:paraId="6F42AD05">
      <w:pPr>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eastAsia="方正仿宋_GBK"/>
          <w:sz w:val="32"/>
          <w:szCs w:val="32"/>
        </w:rPr>
      </w:pPr>
      <w:r>
        <w:rPr>
          <w:rFonts w:eastAsia="方正仿宋_GBK"/>
          <w:sz w:val="32"/>
          <w:szCs w:val="32"/>
        </w:rPr>
        <w:t>六、专业性名词解释</w:t>
      </w:r>
    </w:p>
    <w:p w14:paraId="3B0A460C">
      <w:pPr>
        <w:keepNext w:val="0"/>
        <w:keepLines w:val="0"/>
        <w:pageBreakBefore w:val="0"/>
        <w:widowControl w:val="0"/>
        <w:kinsoku/>
        <w:wordWrap/>
        <w:overflowPunct/>
        <w:topLinePunct w:val="0"/>
        <w:autoSpaceDN/>
        <w:bidi w:val="0"/>
        <w:adjustRightInd/>
        <w:spacing w:line="560" w:lineRule="exact"/>
        <w:textAlignment w:val="auto"/>
        <w:rPr>
          <w:rFonts w:eastAsia="方正仿宋_GBK"/>
          <w:sz w:val="32"/>
          <w:szCs w:val="32"/>
        </w:rPr>
      </w:pPr>
    </w:p>
    <w:p w14:paraId="490935BE">
      <w:pPr>
        <w:keepNext w:val="0"/>
        <w:keepLines w:val="0"/>
        <w:pageBreakBefore w:val="0"/>
        <w:widowControl w:val="0"/>
        <w:kinsoku/>
        <w:wordWrap/>
        <w:overflowPunct/>
        <w:topLinePunct w:val="0"/>
        <w:autoSpaceDN/>
        <w:bidi w:val="0"/>
        <w:adjustRightInd/>
        <w:spacing w:line="560" w:lineRule="exact"/>
        <w:jc w:val="center"/>
        <w:textAlignment w:val="auto"/>
      </w:pPr>
      <w:r>
        <w:rPr>
          <w:rFonts w:eastAsia="方正楷体_GBK"/>
          <w:sz w:val="32"/>
          <w:szCs w:val="32"/>
        </w:rPr>
        <w:t>第二部分：</w:t>
      </w:r>
      <w:r>
        <w:rPr>
          <w:rFonts w:eastAsia="方正仿宋_GBK"/>
          <w:sz w:val="32"/>
          <w:szCs w:val="32"/>
        </w:rPr>
        <w:t>202</w:t>
      </w:r>
      <w:r>
        <w:rPr>
          <w:rFonts w:hint="eastAsia" w:eastAsia="方正仿宋_GBK"/>
          <w:sz w:val="32"/>
          <w:szCs w:val="32"/>
        </w:rPr>
        <w:t>6</w:t>
      </w:r>
      <w:r>
        <w:rPr>
          <w:rFonts w:eastAsia="方正楷体_GBK"/>
          <w:sz w:val="32"/>
          <w:szCs w:val="32"/>
        </w:rPr>
        <w:t>年部门预算</w:t>
      </w:r>
      <w:r>
        <w:rPr>
          <w:rFonts w:hint="eastAsia" w:eastAsia="方正楷体_GBK"/>
          <w:sz w:val="32"/>
          <w:szCs w:val="32"/>
        </w:rPr>
        <w:t>公开报</w:t>
      </w:r>
      <w:r>
        <w:rPr>
          <w:rFonts w:eastAsia="方正楷体_GBK"/>
          <w:sz w:val="32"/>
          <w:szCs w:val="32"/>
        </w:rPr>
        <w:t>表</w:t>
      </w:r>
    </w:p>
    <w:p w14:paraId="2EFC48E6">
      <w:pPr>
        <w:keepNext w:val="0"/>
        <w:keepLines w:val="0"/>
        <w:pageBreakBefore w:val="0"/>
        <w:widowControl w:val="0"/>
        <w:kinsoku/>
        <w:wordWrap/>
        <w:overflowPunct/>
        <w:topLinePunct w:val="0"/>
        <w:autoSpaceDN/>
        <w:bidi w:val="0"/>
        <w:adjustRightInd/>
        <w:spacing w:line="560" w:lineRule="exact"/>
        <w:textAlignment w:val="auto"/>
      </w:pPr>
    </w:p>
    <w:p w14:paraId="0B72505D">
      <w:pPr>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eastAsia="方正仿宋_GBK"/>
          <w:sz w:val="32"/>
          <w:szCs w:val="32"/>
        </w:rPr>
      </w:pPr>
      <w:r>
        <w:rPr>
          <w:rFonts w:eastAsia="方正仿宋_GBK"/>
          <w:sz w:val="32"/>
          <w:szCs w:val="32"/>
        </w:rPr>
        <w:t>表1</w:t>
      </w:r>
      <w:r>
        <w:rPr>
          <w:rFonts w:hint="eastAsia" w:eastAsia="方正仿宋_GBK"/>
          <w:sz w:val="32"/>
          <w:szCs w:val="32"/>
        </w:rPr>
        <w:t>.重庆市开州区精神卫生中心收支预算总表</w:t>
      </w:r>
    </w:p>
    <w:p w14:paraId="3B5F8790">
      <w:pPr>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eastAsia="方正仿宋_GBK"/>
          <w:sz w:val="32"/>
          <w:szCs w:val="32"/>
        </w:rPr>
      </w:pPr>
      <w:r>
        <w:rPr>
          <w:rFonts w:eastAsia="方正仿宋_GBK"/>
          <w:sz w:val="32"/>
          <w:szCs w:val="32"/>
        </w:rPr>
        <w:t>表2</w:t>
      </w:r>
      <w:r>
        <w:rPr>
          <w:rFonts w:hint="eastAsia" w:eastAsia="方正仿宋_GBK"/>
          <w:sz w:val="32"/>
          <w:szCs w:val="32"/>
        </w:rPr>
        <w:t>.重庆市开州区精神卫生中心</w:t>
      </w:r>
      <w:r>
        <w:rPr>
          <w:rFonts w:eastAsia="方正仿宋_GBK"/>
          <w:sz w:val="32"/>
          <w:szCs w:val="32"/>
        </w:rPr>
        <w:t>收入总表</w:t>
      </w:r>
    </w:p>
    <w:p w14:paraId="497EAB5E">
      <w:pPr>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eastAsia="方正仿宋_GBK"/>
          <w:sz w:val="32"/>
          <w:szCs w:val="32"/>
        </w:rPr>
      </w:pPr>
      <w:r>
        <w:rPr>
          <w:rFonts w:eastAsia="方正仿宋_GBK"/>
          <w:sz w:val="32"/>
          <w:szCs w:val="32"/>
        </w:rPr>
        <w:t>表3</w:t>
      </w:r>
      <w:r>
        <w:rPr>
          <w:rFonts w:hint="eastAsia" w:eastAsia="方正仿宋_GBK"/>
          <w:sz w:val="32"/>
          <w:szCs w:val="32"/>
        </w:rPr>
        <w:t>.重庆市开州区精神卫生中心本年</w:t>
      </w:r>
      <w:r>
        <w:rPr>
          <w:rFonts w:eastAsia="方正仿宋_GBK"/>
          <w:sz w:val="32"/>
          <w:szCs w:val="32"/>
        </w:rPr>
        <w:t>支出</w:t>
      </w:r>
      <w:r>
        <w:rPr>
          <w:rFonts w:hint="eastAsia" w:eastAsia="方正仿宋_GBK"/>
          <w:sz w:val="32"/>
          <w:szCs w:val="32"/>
        </w:rPr>
        <w:t>预算总</w:t>
      </w:r>
      <w:r>
        <w:rPr>
          <w:rFonts w:eastAsia="方正仿宋_GBK"/>
          <w:sz w:val="32"/>
          <w:szCs w:val="32"/>
        </w:rPr>
        <w:t>表</w:t>
      </w:r>
    </w:p>
    <w:p w14:paraId="64625E93">
      <w:pPr>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eastAsia="方正仿宋_GBK"/>
          <w:sz w:val="32"/>
          <w:szCs w:val="32"/>
        </w:rPr>
      </w:pPr>
      <w:r>
        <w:rPr>
          <w:rFonts w:eastAsia="方正仿宋_GBK"/>
          <w:sz w:val="32"/>
          <w:szCs w:val="32"/>
        </w:rPr>
        <w:t>表4</w:t>
      </w:r>
      <w:r>
        <w:rPr>
          <w:rFonts w:hint="eastAsia" w:eastAsia="方正仿宋_GBK"/>
          <w:sz w:val="32"/>
          <w:szCs w:val="32"/>
        </w:rPr>
        <w:t>.重庆市开州区精神卫生中心</w:t>
      </w:r>
      <w:r>
        <w:rPr>
          <w:rFonts w:eastAsia="方正仿宋_GBK"/>
          <w:sz w:val="32"/>
          <w:szCs w:val="32"/>
        </w:rPr>
        <w:t>财政拨款收支</w:t>
      </w:r>
      <w:r>
        <w:rPr>
          <w:rFonts w:hint="eastAsia" w:eastAsia="方正仿宋_GBK"/>
          <w:sz w:val="32"/>
          <w:szCs w:val="32"/>
        </w:rPr>
        <w:t>预算总</w:t>
      </w:r>
      <w:r>
        <w:rPr>
          <w:rFonts w:eastAsia="方正仿宋_GBK"/>
          <w:sz w:val="32"/>
          <w:szCs w:val="32"/>
        </w:rPr>
        <w:t>表</w:t>
      </w:r>
    </w:p>
    <w:p w14:paraId="0ADF2755">
      <w:pPr>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eastAsia="方正仿宋_GBK"/>
          <w:sz w:val="32"/>
          <w:szCs w:val="32"/>
        </w:rPr>
      </w:pPr>
      <w:r>
        <w:rPr>
          <w:rFonts w:eastAsia="方正仿宋_GBK"/>
          <w:sz w:val="32"/>
          <w:szCs w:val="32"/>
        </w:rPr>
        <w:t>表5</w:t>
      </w:r>
      <w:r>
        <w:rPr>
          <w:rFonts w:hint="eastAsia" w:eastAsia="方正仿宋_GBK"/>
          <w:sz w:val="32"/>
          <w:szCs w:val="32"/>
        </w:rPr>
        <w:t>.重庆市开州区精神卫生中心本年</w:t>
      </w:r>
      <w:r>
        <w:rPr>
          <w:rFonts w:eastAsia="方正仿宋_GBK"/>
          <w:sz w:val="32"/>
          <w:szCs w:val="32"/>
        </w:rPr>
        <w:t>一般公共预算支出</w:t>
      </w:r>
      <w:r>
        <w:rPr>
          <w:rFonts w:hint="eastAsia" w:eastAsia="方正仿宋_GBK"/>
          <w:sz w:val="32"/>
          <w:szCs w:val="32"/>
        </w:rPr>
        <w:t>预算</w:t>
      </w:r>
      <w:r>
        <w:rPr>
          <w:rFonts w:eastAsia="方正仿宋_GBK"/>
          <w:sz w:val="32"/>
          <w:szCs w:val="32"/>
        </w:rPr>
        <w:t>表</w:t>
      </w:r>
    </w:p>
    <w:p w14:paraId="02869026">
      <w:pPr>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eastAsia="方正仿宋_GBK"/>
          <w:sz w:val="32"/>
          <w:szCs w:val="32"/>
        </w:rPr>
      </w:pPr>
      <w:r>
        <w:rPr>
          <w:rFonts w:eastAsia="方正仿宋_GBK"/>
          <w:sz w:val="32"/>
          <w:szCs w:val="32"/>
        </w:rPr>
        <w:t>表6</w:t>
      </w:r>
      <w:r>
        <w:rPr>
          <w:rFonts w:hint="eastAsia" w:eastAsia="方正仿宋_GBK"/>
          <w:sz w:val="32"/>
          <w:szCs w:val="32"/>
        </w:rPr>
        <w:t>.重庆市开州区精神卫生中心</w:t>
      </w:r>
      <w:r>
        <w:rPr>
          <w:rFonts w:eastAsia="方正仿宋_GBK"/>
          <w:sz w:val="32"/>
          <w:szCs w:val="32"/>
        </w:rPr>
        <w:t>一般公共预算基本支出</w:t>
      </w:r>
      <w:r>
        <w:rPr>
          <w:rFonts w:hint="eastAsia" w:eastAsia="方正仿宋_GBK"/>
          <w:sz w:val="32"/>
          <w:szCs w:val="32"/>
        </w:rPr>
        <w:t>预算</w:t>
      </w:r>
      <w:r>
        <w:rPr>
          <w:rFonts w:eastAsia="方正仿宋_GBK"/>
          <w:sz w:val="32"/>
          <w:szCs w:val="32"/>
        </w:rPr>
        <w:t>表</w:t>
      </w:r>
    </w:p>
    <w:p w14:paraId="7DCF3F89">
      <w:pPr>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eastAsia="方正仿宋_GBK"/>
          <w:sz w:val="32"/>
          <w:szCs w:val="32"/>
        </w:rPr>
      </w:pPr>
      <w:r>
        <w:rPr>
          <w:rFonts w:eastAsia="方正仿宋_GBK"/>
          <w:sz w:val="32"/>
          <w:szCs w:val="32"/>
        </w:rPr>
        <w:t>表7</w:t>
      </w:r>
      <w:r>
        <w:rPr>
          <w:rFonts w:hint="eastAsia" w:eastAsia="方正仿宋_GBK"/>
          <w:sz w:val="32"/>
          <w:szCs w:val="32"/>
        </w:rPr>
        <w:t>.重庆市开州区精神卫生中心</w:t>
      </w:r>
      <w:r>
        <w:rPr>
          <w:rFonts w:eastAsia="方正仿宋_GBK"/>
          <w:sz w:val="32"/>
          <w:szCs w:val="32"/>
        </w:rPr>
        <w:t>一般公共预</w:t>
      </w:r>
      <w:r>
        <w:rPr>
          <w:rFonts w:hint="eastAsia" w:ascii="方正仿宋_GBK" w:eastAsia="方正仿宋_GBK"/>
          <w:sz w:val="32"/>
          <w:szCs w:val="32"/>
        </w:rPr>
        <w:t>算“三公”经费</w:t>
      </w:r>
      <w:r>
        <w:rPr>
          <w:rFonts w:eastAsia="方正仿宋_GBK"/>
          <w:sz w:val="32"/>
          <w:szCs w:val="32"/>
        </w:rPr>
        <w:t>支出</w:t>
      </w:r>
      <w:r>
        <w:rPr>
          <w:rFonts w:hint="eastAsia" w:eastAsia="方正仿宋_GBK"/>
          <w:sz w:val="32"/>
          <w:szCs w:val="32"/>
        </w:rPr>
        <w:t>预算</w:t>
      </w:r>
      <w:r>
        <w:rPr>
          <w:rFonts w:eastAsia="方正仿宋_GBK"/>
          <w:sz w:val="32"/>
          <w:szCs w:val="32"/>
        </w:rPr>
        <w:t>表</w:t>
      </w:r>
    </w:p>
    <w:p w14:paraId="1ECB3B75">
      <w:pPr>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eastAsia="方正仿宋_GBK"/>
          <w:sz w:val="32"/>
          <w:szCs w:val="32"/>
        </w:rPr>
      </w:pPr>
      <w:r>
        <w:rPr>
          <w:rFonts w:eastAsia="方正仿宋_GBK"/>
          <w:sz w:val="32"/>
          <w:szCs w:val="32"/>
        </w:rPr>
        <w:t>表8</w:t>
      </w:r>
      <w:r>
        <w:rPr>
          <w:rFonts w:hint="eastAsia" w:eastAsia="方正仿宋_GBK"/>
          <w:sz w:val="32"/>
          <w:szCs w:val="32"/>
        </w:rPr>
        <w:t>.重庆市开州区精神卫生中心</w:t>
      </w:r>
      <w:r>
        <w:rPr>
          <w:rFonts w:eastAsia="方正仿宋_GBK"/>
          <w:sz w:val="32"/>
          <w:szCs w:val="32"/>
        </w:rPr>
        <w:t>政府性基金预算支出</w:t>
      </w:r>
      <w:r>
        <w:rPr>
          <w:rFonts w:hint="eastAsia" w:eastAsia="方正仿宋_GBK"/>
          <w:sz w:val="32"/>
          <w:szCs w:val="32"/>
        </w:rPr>
        <w:t>预算</w:t>
      </w:r>
      <w:r>
        <w:rPr>
          <w:rFonts w:eastAsia="方正仿宋_GBK"/>
          <w:sz w:val="32"/>
          <w:szCs w:val="32"/>
        </w:rPr>
        <w:t>表</w:t>
      </w:r>
    </w:p>
    <w:p w14:paraId="32A7113E">
      <w:pPr>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eastAsia="方正仿宋_GBK"/>
          <w:sz w:val="32"/>
          <w:szCs w:val="32"/>
        </w:rPr>
      </w:pPr>
      <w:r>
        <w:rPr>
          <w:rFonts w:eastAsia="方正仿宋_GBK"/>
          <w:sz w:val="32"/>
          <w:szCs w:val="32"/>
        </w:rPr>
        <w:t>表9</w:t>
      </w:r>
      <w:r>
        <w:rPr>
          <w:rFonts w:hint="eastAsia" w:eastAsia="方正仿宋_GBK"/>
          <w:sz w:val="32"/>
          <w:szCs w:val="32"/>
        </w:rPr>
        <w:t>.重庆市开州区精神卫生中心</w:t>
      </w:r>
      <w:r>
        <w:rPr>
          <w:rFonts w:eastAsia="方正仿宋_GBK"/>
          <w:sz w:val="32"/>
          <w:szCs w:val="32"/>
        </w:rPr>
        <w:t>国有资本经营预算支出</w:t>
      </w:r>
      <w:r>
        <w:rPr>
          <w:rFonts w:hint="eastAsia" w:eastAsia="方正仿宋_GBK"/>
          <w:sz w:val="32"/>
          <w:szCs w:val="32"/>
        </w:rPr>
        <w:t>预算</w:t>
      </w:r>
      <w:r>
        <w:rPr>
          <w:rFonts w:eastAsia="方正仿宋_GBK"/>
          <w:sz w:val="32"/>
          <w:szCs w:val="32"/>
        </w:rPr>
        <w:t>表</w:t>
      </w:r>
    </w:p>
    <w:p w14:paraId="14C088B0">
      <w:pPr>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eastAsia="方正仿宋_GBK"/>
          <w:sz w:val="32"/>
          <w:szCs w:val="32"/>
        </w:rPr>
      </w:pPr>
      <w:r>
        <w:rPr>
          <w:rFonts w:eastAsia="方正仿宋_GBK"/>
          <w:sz w:val="32"/>
          <w:szCs w:val="32"/>
        </w:rPr>
        <w:t>表10</w:t>
      </w:r>
      <w:r>
        <w:rPr>
          <w:rFonts w:hint="eastAsia" w:eastAsia="方正仿宋_GBK"/>
          <w:sz w:val="32"/>
          <w:szCs w:val="32"/>
        </w:rPr>
        <w:t>.重庆市开州区精神卫生中心</w:t>
      </w:r>
      <w:r>
        <w:rPr>
          <w:rFonts w:eastAsia="方正仿宋_GBK"/>
          <w:sz w:val="32"/>
          <w:szCs w:val="32"/>
        </w:rPr>
        <w:t>项目支出表</w:t>
      </w:r>
    </w:p>
    <w:p w14:paraId="4C802B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表11</w:t>
      </w:r>
      <w:r>
        <w:rPr>
          <w:rFonts w:hint="eastAsia" w:ascii="Times New Roman" w:hAnsi="Times New Roman" w:eastAsia="方正仿宋_GBK" w:cs="Times New Roman"/>
          <w:sz w:val="32"/>
          <w:szCs w:val="32"/>
          <w:highlight w:val="none"/>
          <w:lang w:val="en-US" w:eastAsia="zh-CN"/>
        </w:rPr>
        <w:t>.</w:t>
      </w:r>
      <w:r>
        <w:rPr>
          <w:rFonts w:hint="eastAsia" w:eastAsia="方正仿宋_GBK" w:cs="Times New Roman"/>
          <w:sz w:val="32"/>
          <w:szCs w:val="32"/>
          <w:highlight w:val="none"/>
          <w:lang w:val="en-US" w:eastAsia="zh-CN"/>
        </w:rPr>
        <w:t>2026年</w:t>
      </w:r>
      <w:r>
        <w:rPr>
          <w:rFonts w:hint="eastAsia" w:eastAsia="方正仿宋_GBK"/>
          <w:sz w:val="32"/>
          <w:szCs w:val="32"/>
        </w:rPr>
        <w:t>重庆市开州区精神卫生中心</w:t>
      </w:r>
      <w:r>
        <w:rPr>
          <w:rFonts w:hint="default" w:ascii="Times New Roman" w:hAnsi="Times New Roman" w:eastAsia="方正仿宋_GBK" w:cs="Times New Roman"/>
          <w:sz w:val="32"/>
          <w:szCs w:val="32"/>
          <w:highlight w:val="none"/>
        </w:rPr>
        <w:t>项目绩效目标表</w:t>
      </w:r>
    </w:p>
    <w:p w14:paraId="04499E12">
      <w:pPr>
        <w:pStyle w:val="8"/>
        <w:keepNext w:val="0"/>
        <w:keepLines w:val="0"/>
        <w:pageBreakBefore w:val="0"/>
        <w:widowControl w:val="0"/>
        <w:kinsoku/>
        <w:wordWrap/>
        <w:overflowPunct/>
        <w:topLinePunct w:val="0"/>
        <w:autoSpaceDN/>
        <w:bidi w:val="0"/>
        <w:adjustRightInd/>
        <w:spacing w:line="560" w:lineRule="exact"/>
        <w:textAlignment w:val="auto"/>
      </w:pPr>
    </w:p>
    <w:p w14:paraId="5830100D">
      <w:pPr>
        <w:pStyle w:val="8"/>
        <w:keepNext w:val="0"/>
        <w:keepLines w:val="0"/>
        <w:pageBreakBefore w:val="0"/>
        <w:widowControl w:val="0"/>
        <w:kinsoku/>
        <w:wordWrap/>
        <w:overflowPunct/>
        <w:topLinePunct w:val="0"/>
        <w:autoSpaceDN/>
        <w:bidi w:val="0"/>
        <w:adjustRightInd/>
        <w:spacing w:line="560" w:lineRule="exact"/>
        <w:textAlignment w:val="auto"/>
      </w:pPr>
    </w:p>
    <w:p w14:paraId="5E7CCE22">
      <w:pPr>
        <w:keepNext w:val="0"/>
        <w:keepLines w:val="0"/>
        <w:pageBreakBefore w:val="0"/>
        <w:widowControl w:val="0"/>
        <w:kinsoku/>
        <w:wordWrap/>
        <w:overflowPunct/>
        <w:topLinePunct w:val="0"/>
        <w:autoSpaceDN/>
        <w:bidi w:val="0"/>
        <w:adjustRightInd/>
        <w:spacing w:line="560" w:lineRule="exact"/>
        <w:textAlignment w:val="auto"/>
      </w:pPr>
    </w:p>
    <w:p w14:paraId="63AE4E88">
      <w:pPr>
        <w:keepNext w:val="0"/>
        <w:keepLines w:val="0"/>
        <w:pageBreakBefore w:val="0"/>
        <w:widowControl w:val="0"/>
        <w:kinsoku/>
        <w:wordWrap/>
        <w:overflowPunct/>
        <w:topLinePunct w:val="0"/>
        <w:autoSpaceDN/>
        <w:bidi w:val="0"/>
        <w:adjustRightInd/>
        <w:spacing w:line="560" w:lineRule="exact"/>
        <w:textAlignment w:val="auto"/>
      </w:pPr>
    </w:p>
    <w:p w14:paraId="2A8264CC">
      <w:pPr>
        <w:keepNext w:val="0"/>
        <w:keepLines w:val="0"/>
        <w:pageBreakBefore w:val="0"/>
        <w:widowControl w:val="0"/>
        <w:kinsoku/>
        <w:wordWrap/>
        <w:overflowPunct/>
        <w:topLinePunct w:val="0"/>
        <w:autoSpaceDN/>
        <w:bidi w:val="0"/>
        <w:adjustRightInd/>
        <w:spacing w:line="560" w:lineRule="exact"/>
        <w:textAlignment w:val="auto"/>
      </w:pPr>
    </w:p>
    <w:p w14:paraId="7AE83537">
      <w:pPr>
        <w:keepNext w:val="0"/>
        <w:keepLines w:val="0"/>
        <w:pageBreakBefore w:val="0"/>
        <w:widowControl w:val="0"/>
        <w:kinsoku/>
        <w:wordWrap/>
        <w:overflowPunct/>
        <w:topLinePunct w:val="0"/>
        <w:autoSpaceDN/>
        <w:bidi w:val="0"/>
        <w:adjustRightInd/>
        <w:spacing w:line="560" w:lineRule="exact"/>
        <w:jc w:val="center"/>
        <w:textAlignment w:val="auto"/>
        <w:rPr>
          <w:rFonts w:hint="eastAsia" w:eastAsia="方正小标宋_GBK"/>
          <w:sz w:val="44"/>
          <w:szCs w:val="44"/>
        </w:rPr>
      </w:pPr>
    </w:p>
    <w:p w14:paraId="66E29C79">
      <w:pPr>
        <w:keepNext w:val="0"/>
        <w:keepLines w:val="0"/>
        <w:pageBreakBefore w:val="0"/>
        <w:widowControl w:val="0"/>
        <w:kinsoku/>
        <w:wordWrap/>
        <w:overflowPunct/>
        <w:topLinePunct w:val="0"/>
        <w:autoSpaceDN/>
        <w:bidi w:val="0"/>
        <w:adjustRightInd/>
        <w:spacing w:line="560" w:lineRule="exact"/>
        <w:jc w:val="center"/>
        <w:textAlignment w:val="auto"/>
        <w:rPr>
          <w:rFonts w:hint="eastAsia" w:eastAsia="方正小标宋_GBK"/>
          <w:sz w:val="44"/>
          <w:szCs w:val="44"/>
        </w:rPr>
      </w:pPr>
    </w:p>
    <w:p w14:paraId="6C7960F9">
      <w:pPr>
        <w:keepNext w:val="0"/>
        <w:keepLines w:val="0"/>
        <w:pageBreakBefore w:val="0"/>
        <w:widowControl w:val="0"/>
        <w:kinsoku/>
        <w:wordWrap/>
        <w:overflowPunct/>
        <w:topLinePunct w:val="0"/>
        <w:autoSpaceDN/>
        <w:bidi w:val="0"/>
        <w:adjustRightInd/>
        <w:spacing w:line="560" w:lineRule="exact"/>
        <w:jc w:val="center"/>
        <w:textAlignment w:val="auto"/>
        <w:rPr>
          <w:rFonts w:hint="eastAsia" w:eastAsia="方正小标宋_GBK"/>
          <w:sz w:val="44"/>
          <w:szCs w:val="44"/>
        </w:rPr>
      </w:pPr>
    </w:p>
    <w:p w14:paraId="0C46B024">
      <w:pPr>
        <w:keepNext w:val="0"/>
        <w:keepLines w:val="0"/>
        <w:pageBreakBefore w:val="0"/>
        <w:widowControl w:val="0"/>
        <w:kinsoku/>
        <w:wordWrap/>
        <w:overflowPunct/>
        <w:topLinePunct w:val="0"/>
        <w:autoSpaceDN/>
        <w:bidi w:val="0"/>
        <w:adjustRightInd/>
        <w:spacing w:line="560" w:lineRule="exact"/>
        <w:jc w:val="center"/>
        <w:textAlignment w:val="auto"/>
        <w:rPr>
          <w:rFonts w:hint="eastAsia" w:eastAsia="方正小标宋_GBK"/>
          <w:sz w:val="44"/>
          <w:szCs w:val="44"/>
        </w:rPr>
      </w:pPr>
    </w:p>
    <w:p w14:paraId="6E56549F">
      <w:pPr>
        <w:keepNext w:val="0"/>
        <w:keepLines w:val="0"/>
        <w:pageBreakBefore w:val="0"/>
        <w:widowControl w:val="0"/>
        <w:kinsoku/>
        <w:wordWrap/>
        <w:overflowPunct/>
        <w:topLinePunct w:val="0"/>
        <w:autoSpaceDN/>
        <w:bidi w:val="0"/>
        <w:adjustRightInd/>
        <w:spacing w:line="560" w:lineRule="exact"/>
        <w:jc w:val="center"/>
        <w:textAlignment w:val="auto"/>
        <w:rPr>
          <w:rFonts w:hint="eastAsia" w:eastAsia="方正小标宋_GBK"/>
          <w:sz w:val="44"/>
          <w:szCs w:val="44"/>
        </w:rPr>
      </w:pPr>
    </w:p>
    <w:p w14:paraId="7E5ED5FC">
      <w:pPr>
        <w:keepNext w:val="0"/>
        <w:keepLines w:val="0"/>
        <w:pageBreakBefore w:val="0"/>
        <w:widowControl w:val="0"/>
        <w:kinsoku/>
        <w:wordWrap/>
        <w:overflowPunct/>
        <w:topLinePunct w:val="0"/>
        <w:autoSpaceDN/>
        <w:bidi w:val="0"/>
        <w:adjustRightInd/>
        <w:spacing w:line="560" w:lineRule="exact"/>
        <w:jc w:val="center"/>
        <w:textAlignment w:val="auto"/>
        <w:rPr>
          <w:rFonts w:hint="eastAsia" w:eastAsia="方正小标宋_GBK"/>
          <w:sz w:val="44"/>
          <w:szCs w:val="44"/>
        </w:rPr>
      </w:pPr>
    </w:p>
    <w:p w14:paraId="72FF1C8D">
      <w:pPr>
        <w:keepNext w:val="0"/>
        <w:keepLines w:val="0"/>
        <w:pageBreakBefore w:val="0"/>
        <w:widowControl w:val="0"/>
        <w:kinsoku/>
        <w:wordWrap/>
        <w:overflowPunct/>
        <w:topLinePunct w:val="0"/>
        <w:autoSpaceDN/>
        <w:bidi w:val="0"/>
        <w:adjustRightInd/>
        <w:spacing w:line="560" w:lineRule="exact"/>
        <w:jc w:val="center"/>
        <w:textAlignment w:val="auto"/>
        <w:rPr>
          <w:rFonts w:hint="eastAsia" w:eastAsia="方正小标宋_GBK"/>
          <w:sz w:val="44"/>
          <w:szCs w:val="44"/>
        </w:rPr>
      </w:pPr>
    </w:p>
    <w:p w14:paraId="27B1A385">
      <w:pPr>
        <w:keepNext w:val="0"/>
        <w:keepLines w:val="0"/>
        <w:pageBreakBefore w:val="0"/>
        <w:widowControl w:val="0"/>
        <w:kinsoku/>
        <w:wordWrap/>
        <w:overflowPunct/>
        <w:topLinePunct w:val="0"/>
        <w:autoSpaceDN/>
        <w:bidi w:val="0"/>
        <w:adjustRightInd/>
        <w:spacing w:line="560" w:lineRule="exact"/>
        <w:jc w:val="center"/>
        <w:textAlignment w:val="auto"/>
        <w:rPr>
          <w:rFonts w:hint="eastAsia" w:eastAsia="方正小标宋_GBK"/>
          <w:sz w:val="44"/>
          <w:szCs w:val="44"/>
        </w:rPr>
      </w:pPr>
    </w:p>
    <w:p w14:paraId="56E1025F">
      <w:pPr>
        <w:pStyle w:val="2"/>
        <w:rPr>
          <w:rFonts w:hint="eastAsia" w:eastAsia="方正小标宋_GBK"/>
          <w:sz w:val="44"/>
          <w:szCs w:val="44"/>
        </w:rPr>
      </w:pPr>
    </w:p>
    <w:p w14:paraId="72FB2F46">
      <w:pPr>
        <w:keepNext w:val="0"/>
        <w:keepLines w:val="0"/>
        <w:pageBreakBefore w:val="0"/>
        <w:widowControl w:val="0"/>
        <w:kinsoku/>
        <w:wordWrap/>
        <w:overflowPunct/>
        <w:topLinePunct w:val="0"/>
        <w:autoSpaceDN/>
        <w:bidi w:val="0"/>
        <w:adjustRightInd/>
        <w:spacing w:line="560" w:lineRule="exact"/>
        <w:jc w:val="both"/>
        <w:textAlignment w:val="auto"/>
        <w:rPr>
          <w:rFonts w:hint="eastAsia" w:eastAsia="方正小标宋_GBK"/>
          <w:sz w:val="44"/>
          <w:szCs w:val="44"/>
        </w:rPr>
      </w:pPr>
    </w:p>
    <w:p w14:paraId="1150C636">
      <w:pPr>
        <w:keepNext w:val="0"/>
        <w:keepLines w:val="0"/>
        <w:pageBreakBefore w:val="0"/>
        <w:widowControl w:val="0"/>
        <w:kinsoku/>
        <w:wordWrap/>
        <w:overflowPunct/>
        <w:topLinePunct w:val="0"/>
        <w:autoSpaceDN/>
        <w:bidi w:val="0"/>
        <w:adjustRightInd/>
        <w:spacing w:line="560" w:lineRule="exact"/>
        <w:jc w:val="center"/>
        <w:textAlignment w:val="auto"/>
        <w:rPr>
          <w:rFonts w:hint="eastAsia" w:eastAsia="方正小标宋_GBK"/>
          <w:sz w:val="44"/>
          <w:szCs w:val="44"/>
        </w:rPr>
      </w:pPr>
    </w:p>
    <w:p w14:paraId="222E1A20">
      <w:pPr>
        <w:keepNext w:val="0"/>
        <w:keepLines w:val="0"/>
        <w:pageBreakBefore w:val="0"/>
        <w:widowControl w:val="0"/>
        <w:kinsoku/>
        <w:wordWrap/>
        <w:overflowPunct/>
        <w:topLinePunct w:val="0"/>
        <w:autoSpaceDN/>
        <w:bidi w:val="0"/>
        <w:adjustRightInd/>
        <w:spacing w:line="560" w:lineRule="exact"/>
        <w:jc w:val="center"/>
        <w:textAlignment w:val="auto"/>
        <w:rPr>
          <w:rFonts w:eastAsia="方正小标宋_GBK"/>
          <w:sz w:val="44"/>
          <w:szCs w:val="44"/>
        </w:rPr>
      </w:pPr>
      <w:r>
        <w:rPr>
          <w:rFonts w:hint="eastAsia" w:eastAsia="方正小标宋_GBK"/>
          <w:sz w:val="44"/>
          <w:szCs w:val="44"/>
        </w:rPr>
        <w:t>第一部分：2026年部门预算情况说明</w:t>
      </w:r>
    </w:p>
    <w:p w14:paraId="1B13BF48">
      <w:pPr>
        <w:keepNext w:val="0"/>
        <w:keepLines w:val="0"/>
        <w:pageBreakBefore w:val="0"/>
        <w:widowControl w:val="0"/>
        <w:kinsoku/>
        <w:wordWrap/>
        <w:overflowPunct/>
        <w:topLinePunct w:val="0"/>
        <w:autoSpaceDN/>
        <w:bidi w:val="0"/>
        <w:adjustRightInd/>
        <w:spacing w:line="560" w:lineRule="exact"/>
        <w:ind w:firstLine="880" w:firstLineChars="200"/>
        <w:jc w:val="center"/>
        <w:textAlignment w:val="auto"/>
        <w:rPr>
          <w:rFonts w:eastAsia="华文中宋"/>
          <w:sz w:val="44"/>
          <w:szCs w:val="44"/>
        </w:rPr>
      </w:pPr>
    </w:p>
    <w:p w14:paraId="5ABFE4C6">
      <w:pPr>
        <w:keepNext w:val="0"/>
        <w:keepLines w:val="0"/>
        <w:pageBreakBefore w:val="0"/>
        <w:widowControl w:val="0"/>
        <w:kinsoku/>
        <w:wordWrap/>
        <w:overflowPunct/>
        <w:topLinePunct w:val="0"/>
        <w:autoSpaceDN/>
        <w:bidi w:val="0"/>
        <w:adjustRightInd/>
        <w:spacing w:line="560" w:lineRule="exact"/>
        <w:ind w:left="640"/>
        <w:textAlignment w:val="auto"/>
        <w:rPr>
          <w:rFonts w:eastAsia="方正黑体_GBK"/>
          <w:sz w:val="32"/>
        </w:rPr>
      </w:pPr>
      <w:r>
        <w:rPr>
          <w:rFonts w:eastAsia="方正黑体_GBK"/>
          <w:sz w:val="32"/>
        </w:rPr>
        <w:t>一、单位基本情况</w:t>
      </w:r>
    </w:p>
    <w:p w14:paraId="7511F8BD">
      <w:pPr>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ascii="方正楷体_GBK" w:eastAsia="方正楷体_GBK"/>
          <w:sz w:val="32"/>
        </w:rPr>
      </w:pPr>
      <w:r>
        <w:rPr>
          <w:rFonts w:hint="eastAsia" w:ascii="方正楷体_GBK" w:eastAsia="方正楷体_GBK"/>
          <w:sz w:val="32"/>
        </w:rPr>
        <w:t>（一）职能职责</w:t>
      </w:r>
    </w:p>
    <w:p w14:paraId="4D9DA4A5">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rPr>
          <w:rFonts w:ascii="方正仿宋_GBK" w:eastAsia="方正仿宋_GBK"/>
          <w:sz w:val="32"/>
          <w:szCs w:val="32"/>
        </w:rPr>
      </w:pPr>
      <w:r>
        <w:rPr>
          <w:rFonts w:hint="eastAsia" w:eastAsia="方正仿宋_GBK"/>
          <w:sz w:val="32"/>
          <w:szCs w:val="32"/>
        </w:rPr>
        <w:t>1.</w:t>
      </w:r>
      <w:r>
        <w:rPr>
          <w:rFonts w:hint="eastAsia" w:ascii="方正仿宋_GBK" w:eastAsia="方正仿宋_GBK"/>
          <w:sz w:val="32"/>
          <w:szCs w:val="32"/>
        </w:rPr>
        <w:t>负责重性精神病患者管理的督导、技术指导；服务数量及质量的管理。</w:t>
      </w:r>
    </w:p>
    <w:p w14:paraId="016B4582">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rPr>
          <w:rFonts w:ascii="方正仿宋_GBK" w:eastAsia="方正仿宋_GBK"/>
          <w:sz w:val="32"/>
          <w:szCs w:val="32"/>
        </w:rPr>
      </w:pPr>
      <w:r>
        <w:rPr>
          <w:rFonts w:hint="eastAsia" w:eastAsia="方正仿宋_GBK"/>
          <w:sz w:val="32"/>
          <w:szCs w:val="32"/>
        </w:rPr>
        <w:t>2</w:t>
      </w:r>
      <w:r>
        <w:rPr>
          <w:rFonts w:hint="eastAsia" w:ascii="方正仿宋_GBK" w:eastAsia="方正仿宋_GBK"/>
          <w:sz w:val="32"/>
          <w:szCs w:val="32"/>
        </w:rPr>
        <w:t>.制订项目工作制度、年度工作计划、督导评估考核等规范性文件。承担项目的技术指导、人员培训、绩效考核、督导评估等工作。</w:t>
      </w:r>
    </w:p>
    <w:p w14:paraId="37E2F81B">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rPr>
          <w:rFonts w:ascii="方正仿宋_GBK" w:eastAsia="方正仿宋_GBK"/>
          <w:sz w:val="32"/>
          <w:szCs w:val="32"/>
        </w:rPr>
      </w:pPr>
      <w:r>
        <w:rPr>
          <w:rFonts w:hint="eastAsia" w:eastAsia="方正仿宋_GBK"/>
          <w:sz w:val="32"/>
          <w:szCs w:val="32"/>
        </w:rPr>
        <w:t>3.</w:t>
      </w:r>
      <w:r>
        <w:rPr>
          <w:rFonts w:hint="eastAsia" w:ascii="方正仿宋_GBK" w:eastAsia="方正仿宋_GBK"/>
          <w:sz w:val="32"/>
          <w:szCs w:val="32"/>
        </w:rPr>
        <w:t>积极协调，充分发挥专家作用，提高对基层卫生机构的业务指导水平，每年组织开展4次计术指导与工作督导，为项目实施单位提供技术支撑。</w:t>
      </w:r>
    </w:p>
    <w:p w14:paraId="559F227F">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rPr>
          <w:rFonts w:ascii="方正仿宋_GBK" w:eastAsia="方正仿宋_GBK"/>
          <w:sz w:val="32"/>
          <w:szCs w:val="32"/>
        </w:rPr>
      </w:pPr>
      <w:r>
        <w:rPr>
          <w:rFonts w:hint="eastAsia" w:eastAsia="方正仿宋_GBK"/>
          <w:sz w:val="32"/>
          <w:szCs w:val="32"/>
        </w:rPr>
        <w:t>4.</w:t>
      </w:r>
      <w:r>
        <w:rPr>
          <w:rFonts w:hint="eastAsia" w:ascii="方正仿宋_GBK" w:eastAsia="方正仿宋_GBK"/>
          <w:sz w:val="32"/>
          <w:szCs w:val="32"/>
        </w:rPr>
        <w:t>成立重性精神病单项专家组，定期不定期召开专题会议，研究工作中存在的问题，形成工作汇报，供决策参考。</w:t>
      </w:r>
    </w:p>
    <w:p w14:paraId="7B77B98E">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rPr>
          <w:rFonts w:ascii="方正仿宋_GBK" w:eastAsia="方正仿宋_GBK"/>
          <w:sz w:val="32"/>
          <w:szCs w:val="32"/>
        </w:rPr>
      </w:pPr>
      <w:r>
        <w:rPr>
          <w:rFonts w:hint="eastAsia" w:eastAsia="方正仿宋_GBK"/>
          <w:sz w:val="32"/>
          <w:szCs w:val="32"/>
        </w:rPr>
        <w:t>5.</w:t>
      </w:r>
      <w:r>
        <w:rPr>
          <w:rFonts w:hint="eastAsia" w:ascii="方正仿宋_GBK" w:eastAsia="方正仿宋_GBK"/>
          <w:sz w:val="32"/>
          <w:szCs w:val="32"/>
        </w:rPr>
        <w:t>负责项目报表数据统计、信息收集、汇总分析、数据报送等工作。</w:t>
      </w:r>
    </w:p>
    <w:p w14:paraId="0DF12D64">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rPr>
          <w:rFonts w:ascii="方正仿宋_GBK" w:eastAsia="方正仿宋_GBK"/>
          <w:sz w:val="32"/>
          <w:szCs w:val="32"/>
        </w:rPr>
      </w:pPr>
      <w:r>
        <w:rPr>
          <w:rFonts w:hint="eastAsia" w:eastAsia="方正仿宋_GBK"/>
          <w:sz w:val="32"/>
          <w:szCs w:val="32"/>
        </w:rPr>
        <w:t>6.</w:t>
      </w:r>
      <w:r>
        <w:rPr>
          <w:rFonts w:hint="eastAsia" w:ascii="方正仿宋_GBK" w:eastAsia="方正仿宋_GBK"/>
          <w:sz w:val="32"/>
          <w:szCs w:val="32"/>
        </w:rPr>
        <w:t>每年组织我区实施公卫重性精神病患者管理的工作评估，形成有价值的评估报告，供决策参考。</w:t>
      </w:r>
    </w:p>
    <w:p w14:paraId="4925276C">
      <w:pPr>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ascii="方正仿宋_GBK" w:hAnsi="仿宋_GB2312" w:eastAsia="方正仿宋_GBK" w:cs="仿宋_GB2312"/>
          <w:sz w:val="32"/>
        </w:rPr>
      </w:pPr>
      <w:r>
        <w:rPr>
          <w:rFonts w:hint="eastAsia" w:eastAsia="方正仿宋_GBK"/>
          <w:sz w:val="32"/>
          <w:szCs w:val="32"/>
        </w:rPr>
        <w:t>7.</w:t>
      </w:r>
      <w:r>
        <w:rPr>
          <w:rFonts w:hint="eastAsia" w:ascii="方正仿宋_GBK" w:eastAsia="方正仿宋_GBK"/>
          <w:sz w:val="32"/>
          <w:szCs w:val="32"/>
        </w:rPr>
        <w:t>完成区卫生计生行政部门交办的其他任务。</w:t>
      </w:r>
    </w:p>
    <w:p w14:paraId="1AE8DA1B">
      <w:pPr>
        <w:pStyle w:val="12"/>
        <w:keepNext w:val="0"/>
        <w:keepLines w:val="0"/>
        <w:pageBreakBefore w:val="0"/>
        <w:widowControl w:val="0"/>
        <w:tabs>
          <w:tab w:val="center" w:pos="4153"/>
          <w:tab w:val="left" w:pos="7275"/>
        </w:tabs>
        <w:kinsoku/>
        <w:wordWrap/>
        <w:overflowPunct/>
        <w:topLinePunct w:val="0"/>
        <w:autoSpaceDN/>
        <w:bidi w:val="0"/>
        <w:adjustRightInd/>
        <w:spacing w:line="560" w:lineRule="exact"/>
        <w:ind w:left="640" w:firstLine="0" w:firstLineChars="0"/>
        <w:jc w:val="left"/>
        <w:textAlignment w:val="auto"/>
        <w:rPr>
          <w:rFonts w:ascii="方正楷体_GBK" w:hAnsi="Times New Roman" w:eastAsia="方正楷体_GBK"/>
          <w:sz w:val="32"/>
        </w:rPr>
      </w:pPr>
      <w:r>
        <w:rPr>
          <w:rFonts w:hint="eastAsia" w:ascii="方正楷体_GBK" w:hAnsi="Times New Roman" w:eastAsia="方正楷体_GBK"/>
          <w:sz w:val="32"/>
        </w:rPr>
        <w:t>（二）单位构成</w:t>
      </w:r>
    </w:p>
    <w:p w14:paraId="2949513D">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开州区精神卫生中心为差额拨款事业单位，设</w:t>
      </w:r>
      <w:r>
        <w:rPr>
          <w:rFonts w:hint="default" w:ascii="Times New Roman" w:hAnsi="Times New Roman" w:eastAsia="方正仿宋_GBK" w:cs="Times New Roman"/>
          <w:sz w:val="32"/>
          <w:szCs w:val="32"/>
        </w:rPr>
        <w:t>20</w:t>
      </w:r>
      <w:r>
        <w:rPr>
          <w:rFonts w:hint="eastAsia" w:ascii="方正仿宋_GBK" w:eastAsia="方正仿宋_GBK"/>
          <w:sz w:val="32"/>
          <w:szCs w:val="32"/>
        </w:rPr>
        <w:t>个科室。分别是办公室、党办、医务科、护理部、感控科、精防科、社会心理办、财务科、医保科、总务科、建设科、信息设备科、门诊部、精神一科、精神二科、综合科、老年男性精神科、医技科、药剂科、工娱康复科。</w:t>
      </w:r>
    </w:p>
    <w:p w14:paraId="0B821B83">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从预算单位构成看，本单位是二级预算单位，主管部门为重庆市开州区卫生健康委员会。</w:t>
      </w:r>
    </w:p>
    <w:p w14:paraId="3D5E9A1D">
      <w:pPr>
        <w:keepNext w:val="0"/>
        <w:keepLines w:val="0"/>
        <w:pageBreakBefore w:val="0"/>
        <w:widowControl w:val="0"/>
        <w:kinsoku/>
        <w:wordWrap/>
        <w:overflowPunct/>
        <w:topLinePunct w:val="0"/>
        <w:autoSpaceDN/>
        <w:bidi w:val="0"/>
        <w:adjustRightInd/>
        <w:spacing w:line="560" w:lineRule="exact"/>
        <w:ind w:left="640"/>
        <w:textAlignment w:val="auto"/>
        <w:rPr>
          <w:rFonts w:eastAsia="方正仿宋_GBK"/>
          <w:sz w:val="32"/>
        </w:rPr>
      </w:pPr>
      <w:r>
        <w:rPr>
          <w:rFonts w:eastAsia="方正黑体_GBK"/>
          <w:sz w:val="32"/>
        </w:rPr>
        <w:t>二、部门收支总体情况</w:t>
      </w:r>
    </w:p>
    <w:p w14:paraId="15032D58">
      <w:pPr>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eastAsia="方正仿宋_GBK"/>
          <w:sz w:val="32"/>
        </w:rPr>
      </w:pPr>
      <w:r>
        <w:rPr>
          <w:rFonts w:hint="eastAsia" w:ascii="方正楷体_GBK" w:eastAsia="方正楷体_GBK"/>
          <w:sz w:val="32"/>
        </w:rPr>
        <w:t>（一）收入预算。</w:t>
      </w:r>
      <w:r>
        <w:rPr>
          <w:rFonts w:eastAsia="方正仿宋_GBK"/>
          <w:sz w:val="32"/>
          <w:szCs w:val="32"/>
        </w:rPr>
        <w:t>202</w:t>
      </w:r>
      <w:r>
        <w:rPr>
          <w:rFonts w:hint="eastAsia" w:eastAsia="方正仿宋_GBK"/>
          <w:sz w:val="32"/>
          <w:szCs w:val="32"/>
        </w:rPr>
        <w:t>6</w:t>
      </w:r>
      <w:r>
        <w:rPr>
          <w:rFonts w:eastAsia="方正仿宋_GBK"/>
          <w:sz w:val="32"/>
        </w:rPr>
        <w:t>年年初预算数</w:t>
      </w:r>
      <w:r>
        <w:rPr>
          <w:rFonts w:hint="eastAsia" w:eastAsia="方正仿宋_GBK"/>
          <w:sz w:val="32"/>
          <w:szCs w:val="32"/>
        </w:rPr>
        <w:t>8216.55</w:t>
      </w:r>
      <w:r>
        <w:rPr>
          <w:rFonts w:eastAsia="方正仿宋_GBK"/>
          <w:sz w:val="32"/>
        </w:rPr>
        <w:t>万元，</w:t>
      </w:r>
      <w:r>
        <w:rPr>
          <w:rFonts w:hint="eastAsia" w:eastAsia="方正仿宋_GBK"/>
          <w:sz w:val="32"/>
        </w:rPr>
        <w:t>上年结转0万元，</w:t>
      </w:r>
      <w:r>
        <w:rPr>
          <w:rFonts w:eastAsia="方正仿宋_GBK"/>
          <w:sz w:val="32"/>
        </w:rPr>
        <w:t>其中：一般公共预算拨款</w:t>
      </w:r>
      <w:r>
        <w:rPr>
          <w:rFonts w:hint="default" w:ascii="Times New Roman" w:hAnsi="Times New Roman" w:eastAsia="方正仿宋_GBK" w:cs="Times New Roman"/>
          <w:sz w:val="32"/>
          <w:highlight w:val="none"/>
          <w:lang w:eastAsia="zh-CN"/>
        </w:rPr>
        <w:t>收入</w:t>
      </w:r>
      <w:r>
        <w:rPr>
          <w:rFonts w:hint="eastAsia" w:eastAsia="方正仿宋_GBK"/>
          <w:sz w:val="32"/>
          <w:szCs w:val="32"/>
        </w:rPr>
        <w:t>2312.3</w:t>
      </w:r>
      <w:r>
        <w:rPr>
          <w:rFonts w:eastAsia="方正仿宋_GBK"/>
          <w:sz w:val="32"/>
          <w:szCs w:val="32"/>
        </w:rPr>
        <w:t>万</w:t>
      </w:r>
      <w:r>
        <w:rPr>
          <w:rFonts w:eastAsia="方正仿宋_GBK"/>
          <w:sz w:val="32"/>
        </w:rPr>
        <w:t>元，</w:t>
      </w:r>
      <w:r>
        <w:rPr>
          <w:rFonts w:hint="eastAsia" w:eastAsia="方正仿宋_GBK"/>
          <w:sz w:val="32"/>
        </w:rPr>
        <w:t>上年结转0万元，</w:t>
      </w:r>
      <w:r>
        <w:rPr>
          <w:rFonts w:eastAsia="方正仿宋_GBK"/>
          <w:sz w:val="32"/>
        </w:rPr>
        <w:t>政府性基金预算拨款</w:t>
      </w:r>
      <w:r>
        <w:rPr>
          <w:rFonts w:hint="eastAsia" w:eastAsia="方正仿宋_GBK"/>
          <w:sz w:val="32"/>
          <w:szCs w:val="32"/>
        </w:rPr>
        <w:t>0</w:t>
      </w:r>
      <w:r>
        <w:rPr>
          <w:rFonts w:eastAsia="方正仿宋_GBK"/>
          <w:sz w:val="32"/>
        </w:rPr>
        <w:t>万元，</w:t>
      </w:r>
      <w:r>
        <w:rPr>
          <w:rFonts w:hint="eastAsia" w:eastAsia="方正仿宋_GBK"/>
          <w:sz w:val="32"/>
        </w:rPr>
        <w:t>上年结转0万元，</w:t>
      </w:r>
      <w:r>
        <w:rPr>
          <w:rFonts w:eastAsia="方正仿宋_GBK"/>
          <w:sz w:val="32"/>
        </w:rPr>
        <w:t>国有资本经营预算收入</w:t>
      </w:r>
      <w:r>
        <w:rPr>
          <w:rFonts w:hint="eastAsia" w:eastAsia="方正仿宋_GBK"/>
          <w:sz w:val="32"/>
          <w:szCs w:val="32"/>
        </w:rPr>
        <w:t>0</w:t>
      </w:r>
      <w:r>
        <w:rPr>
          <w:rFonts w:eastAsia="方正仿宋_GBK"/>
          <w:sz w:val="32"/>
        </w:rPr>
        <w:t>万元，</w:t>
      </w:r>
      <w:r>
        <w:rPr>
          <w:rFonts w:hint="eastAsia" w:eastAsia="方正仿宋_GBK"/>
          <w:sz w:val="32"/>
        </w:rPr>
        <w:t>上年结转0万元，</w:t>
      </w:r>
      <w:r>
        <w:rPr>
          <w:rFonts w:eastAsia="方正仿宋_GBK"/>
          <w:sz w:val="32"/>
        </w:rPr>
        <w:t>事业收入</w:t>
      </w:r>
      <w:r>
        <w:rPr>
          <w:rFonts w:hint="eastAsia" w:eastAsia="方正仿宋_GBK"/>
          <w:sz w:val="32"/>
          <w:szCs w:val="32"/>
        </w:rPr>
        <w:t>5445</w:t>
      </w:r>
      <w:r>
        <w:rPr>
          <w:rFonts w:eastAsia="方正仿宋_GBK"/>
          <w:sz w:val="32"/>
        </w:rPr>
        <w:t>万元，事业单位经营收入</w:t>
      </w:r>
      <w:r>
        <w:rPr>
          <w:rFonts w:hint="eastAsia" w:eastAsia="方正仿宋_GBK"/>
          <w:sz w:val="32"/>
          <w:szCs w:val="32"/>
        </w:rPr>
        <w:t>0</w:t>
      </w:r>
      <w:r>
        <w:rPr>
          <w:rFonts w:eastAsia="方正仿宋_GBK"/>
          <w:sz w:val="32"/>
        </w:rPr>
        <w:t>万元，其他收入</w:t>
      </w:r>
      <w:r>
        <w:rPr>
          <w:rFonts w:hint="eastAsia" w:eastAsia="方正仿宋_GBK"/>
          <w:sz w:val="32"/>
          <w:szCs w:val="32"/>
        </w:rPr>
        <w:t>459.25</w:t>
      </w:r>
      <w:r>
        <w:rPr>
          <w:rFonts w:eastAsia="方正仿宋_GBK"/>
          <w:sz w:val="32"/>
        </w:rPr>
        <w:t>万元。收入较</w:t>
      </w:r>
      <w:r>
        <w:rPr>
          <w:rFonts w:eastAsia="方正仿宋_GBK"/>
          <w:sz w:val="32"/>
          <w:szCs w:val="32"/>
        </w:rPr>
        <w:t>202</w:t>
      </w:r>
      <w:r>
        <w:rPr>
          <w:rFonts w:hint="eastAsia" w:eastAsia="方正仿宋_GBK"/>
          <w:sz w:val="32"/>
          <w:szCs w:val="32"/>
        </w:rPr>
        <w:t>5</w:t>
      </w:r>
      <w:r>
        <w:rPr>
          <w:rFonts w:eastAsia="方正仿宋_GBK"/>
          <w:sz w:val="32"/>
        </w:rPr>
        <w:t>年增加</w:t>
      </w:r>
      <w:r>
        <w:rPr>
          <w:rFonts w:hint="eastAsia" w:eastAsia="方正仿宋_GBK"/>
          <w:sz w:val="32"/>
          <w:szCs w:val="32"/>
        </w:rPr>
        <w:t>913.98</w:t>
      </w:r>
      <w:r>
        <w:rPr>
          <w:rFonts w:eastAsia="方正仿宋_GBK"/>
          <w:sz w:val="32"/>
        </w:rPr>
        <w:t>万元</w:t>
      </w:r>
      <w:r>
        <w:rPr>
          <w:rFonts w:hint="eastAsia" w:eastAsia="方正仿宋_GBK"/>
          <w:sz w:val="32"/>
        </w:rPr>
        <w:t>，主要由于事业收入增加</w:t>
      </w:r>
      <w:r>
        <w:rPr>
          <w:rFonts w:hint="eastAsia" w:eastAsia="方正仿宋_GBK"/>
          <w:sz w:val="32"/>
          <w:szCs w:val="32"/>
        </w:rPr>
        <w:t>595</w:t>
      </w:r>
      <w:r>
        <w:rPr>
          <w:rFonts w:hint="eastAsia" w:eastAsia="方正仿宋_GBK"/>
          <w:sz w:val="32"/>
        </w:rPr>
        <w:t>万元，</w:t>
      </w:r>
      <w:r>
        <w:rPr>
          <w:rFonts w:hint="eastAsia" w:ascii="方正仿宋_GBK" w:hAnsi="仿宋_GB2312" w:eastAsia="方正仿宋_GBK" w:cs="仿宋_GB2312"/>
          <w:sz w:val="32"/>
        </w:rPr>
        <w:t>一般公共预算拨款增加286.35万元，其他收入增加</w:t>
      </w:r>
      <w:r>
        <w:rPr>
          <w:rFonts w:hint="eastAsia" w:eastAsia="方正仿宋_GBK"/>
          <w:sz w:val="32"/>
          <w:szCs w:val="32"/>
        </w:rPr>
        <w:t>32.63</w:t>
      </w:r>
      <w:r>
        <w:rPr>
          <w:rFonts w:hint="eastAsia" w:ascii="方正仿宋_GBK" w:hAnsi="仿宋_GB2312" w:eastAsia="方正仿宋_GBK" w:cs="仿宋_GB2312"/>
          <w:sz w:val="32"/>
        </w:rPr>
        <w:t>万元。</w:t>
      </w:r>
    </w:p>
    <w:p w14:paraId="5C02EB00">
      <w:pPr>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eastAsia="方正仿宋_GBK"/>
          <w:sz w:val="32"/>
        </w:rPr>
      </w:pPr>
      <w:r>
        <w:rPr>
          <w:rFonts w:hint="eastAsia" w:ascii="方正楷体_GBK" w:eastAsia="方正楷体_GBK"/>
          <w:sz w:val="32"/>
        </w:rPr>
        <w:t>（二）支出预算。</w:t>
      </w:r>
      <w:r>
        <w:rPr>
          <w:rFonts w:eastAsia="方正仿宋_GBK"/>
          <w:sz w:val="32"/>
          <w:szCs w:val="32"/>
        </w:rPr>
        <w:t>202</w:t>
      </w:r>
      <w:r>
        <w:rPr>
          <w:rFonts w:hint="eastAsia" w:eastAsia="方正仿宋_GBK"/>
          <w:sz w:val="32"/>
          <w:szCs w:val="32"/>
        </w:rPr>
        <w:t>6</w:t>
      </w:r>
      <w:r>
        <w:rPr>
          <w:rFonts w:eastAsia="方正仿宋_GBK"/>
          <w:sz w:val="32"/>
        </w:rPr>
        <w:t>年年初预算数</w:t>
      </w:r>
      <w:r>
        <w:rPr>
          <w:rFonts w:hint="eastAsia" w:eastAsia="方正仿宋_GBK"/>
          <w:sz w:val="32"/>
          <w:szCs w:val="32"/>
        </w:rPr>
        <w:t>8216.55</w:t>
      </w:r>
      <w:r>
        <w:rPr>
          <w:rFonts w:eastAsia="方正仿宋_GBK"/>
          <w:sz w:val="32"/>
        </w:rPr>
        <w:t>万元，其中：一般公共服务支出预算</w:t>
      </w:r>
      <w:r>
        <w:rPr>
          <w:rFonts w:hint="eastAsia" w:eastAsia="方正仿宋_GBK"/>
          <w:sz w:val="32"/>
          <w:szCs w:val="32"/>
        </w:rPr>
        <w:t>0</w:t>
      </w:r>
      <w:r>
        <w:rPr>
          <w:rFonts w:eastAsia="方正仿宋_GBK"/>
          <w:sz w:val="32"/>
        </w:rPr>
        <w:t>万元，教育支出预算</w:t>
      </w:r>
      <w:r>
        <w:rPr>
          <w:rFonts w:hint="eastAsia" w:eastAsia="方正仿宋_GBK"/>
          <w:sz w:val="32"/>
          <w:szCs w:val="32"/>
        </w:rPr>
        <w:t>0</w:t>
      </w:r>
      <w:r>
        <w:rPr>
          <w:rFonts w:eastAsia="方正仿宋_GBK"/>
          <w:sz w:val="32"/>
        </w:rPr>
        <w:t>万元，社会保障和就业支出预算</w:t>
      </w:r>
      <w:r>
        <w:rPr>
          <w:rFonts w:hint="eastAsia" w:eastAsia="方正仿宋_GBK"/>
          <w:sz w:val="32"/>
          <w:szCs w:val="32"/>
        </w:rPr>
        <w:t>631.55</w:t>
      </w:r>
      <w:r>
        <w:rPr>
          <w:rFonts w:eastAsia="方正仿宋_GBK"/>
          <w:sz w:val="32"/>
        </w:rPr>
        <w:t>万元，卫生健康支出预算</w:t>
      </w:r>
      <w:r>
        <w:rPr>
          <w:rFonts w:hint="eastAsia" w:eastAsia="方正仿宋_GBK"/>
          <w:sz w:val="32"/>
          <w:szCs w:val="32"/>
        </w:rPr>
        <w:t>7447.8</w:t>
      </w:r>
      <w:r>
        <w:rPr>
          <w:rFonts w:eastAsia="方正仿宋_GBK"/>
          <w:sz w:val="32"/>
        </w:rPr>
        <w:t>万元，住房保障支出预算</w:t>
      </w:r>
      <w:r>
        <w:rPr>
          <w:rFonts w:hint="eastAsia" w:eastAsia="方正仿宋_GBK"/>
          <w:sz w:val="32"/>
          <w:szCs w:val="32"/>
        </w:rPr>
        <w:t>137.2</w:t>
      </w:r>
      <w:r>
        <w:rPr>
          <w:rFonts w:eastAsia="方正仿宋_GBK"/>
          <w:sz w:val="32"/>
        </w:rPr>
        <w:t>万元。支出预算较</w:t>
      </w:r>
      <w:r>
        <w:rPr>
          <w:rFonts w:hint="eastAsia" w:eastAsia="方正仿宋_GBK"/>
          <w:sz w:val="32"/>
          <w:szCs w:val="32"/>
        </w:rPr>
        <w:t>2025</w:t>
      </w:r>
      <w:r>
        <w:rPr>
          <w:rFonts w:eastAsia="方正仿宋_GBK"/>
          <w:sz w:val="32"/>
        </w:rPr>
        <w:t>年增加</w:t>
      </w:r>
      <w:r>
        <w:rPr>
          <w:rFonts w:hint="eastAsia" w:eastAsia="方正仿宋_GBK"/>
          <w:sz w:val="32"/>
          <w:szCs w:val="32"/>
        </w:rPr>
        <w:t>913.98</w:t>
      </w:r>
      <w:r>
        <w:rPr>
          <w:rFonts w:eastAsia="方正仿宋_GBK"/>
          <w:sz w:val="32"/>
        </w:rPr>
        <w:t>万元，主要是基本支出预算增加</w:t>
      </w:r>
      <w:r>
        <w:rPr>
          <w:rFonts w:hint="eastAsia" w:eastAsia="方正仿宋_GBK"/>
          <w:sz w:val="32"/>
          <w:szCs w:val="32"/>
        </w:rPr>
        <w:t>837.98</w:t>
      </w:r>
      <w:r>
        <w:rPr>
          <w:rFonts w:eastAsia="方正仿宋_GBK"/>
          <w:sz w:val="32"/>
        </w:rPr>
        <w:t>万元，项目支出预算</w:t>
      </w:r>
      <w:r>
        <w:rPr>
          <w:rFonts w:hint="eastAsia" w:eastAsia="方正仿宋_GBK"/>
          <w:sz w:val="32"/>
        </w:rPr>
        <w:t>增加76</w:t>
      </w:r>
      <w:r>
        <w:rPr>
          <w:rFonts w:eastAsia="方正仿宋_GBK"/>
          <w:sz w:val="32"/>
        </w:rPr>
        <w:t>万元。</w:t>
      </w:r>
    </w:p>
    <w:p w14:paraId="44845C86">
      <w:pPr>
        <w:keepNext w:val="0"/>
        <w:keepLines w:val="0"/>
        <w:pageBreakBefore w:val="0"/>
        <w:widowControl w:val="0"/>
        <w:kinsoku/>
        <w:wordWrap/>
        <w:overflowPunct/>
        <w:topLinePunct w:val="0"/>
        <w:autoSpaceDN/>
        <w:bidi w:val="0"/>
        <w:adjustRightInd/>
        <w:spacing w:line="560" w:lineRule="exact"/>
        <w:ind w:left="640"/>
        <w:textAlignment w:val="auto"/>
        <w:rPr>
          <w:rFonts w:eastAsia="方正黑体_GBK"/>
          <w:sz w:val="32"/>
        </w:rPr>
      </w:pPr>
      <w:r>
        <w:rPr>
          <w:rFonts w:eastAsia="方正黑体_GBK"/>
          <w:sz w:val="32"/>
        </w:rPr>
        <w:t>三、部门预算情况说明</w:t>
      </w:r>
    </w:p>
    <w:p w14:paraId="099744C5">
      <w:pPr>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eastAsia="方正仿宋_GBK"/>
          <w:sz w:val="32"/>
        </w:rPr>
      </w:pPr>
      <w:r>
        <w:rPr>
          <w:rFonts w:eastAsia="方正仿宋_GBK"/>
          <w:sz w:val="32"/>
          <w:szCs w:val="32"/>
        </w:rPr>
        <w:t>202</w:t>
      </w:r>
      <w:r>
        <w:rPr>
          <w:rFonts w:hint="eastAsia" w:eastAsia="方正仿宋_GBK"/>
          <w:sz w:val="32"/>
          <w:szCs w:val="32"/>
        </w:rPr>
        <w:t>6</w:t>
      </w:r>
      <w:r>
        <w:rPr>
          <w:rFonts w:eastAsia="方正仿宋_GBK"/>
          <w:sz w:val="32"/>
        </w:rPr>
        <w:t>年一般公共预算财政拨款收入</w:t>
      </w:r>
      <w:r>
        <w:rPr>
          <w:rFonts w:hint="eastAsia" w:eastAsia="方正仿宋_GBK"/>
          <w:sz w:val="32"/>
          <w:szCs w:val="32"/>
        </w:rPr>
        <w:t>2312.3</w:t>
      </w:r>
      <w:r>
        <w:rPr>
          <w:rFonts w:eastAsia="方正仿宋_GBK"/>
          <w:sz w:val="32"/>
        </w:rPr>
        <w:t>万元，一般公共预算财政拨款支出</w:t>
      </w:r>
      <w:r>
        <w:rPr>
          <w:rFonts w:hint="eastAsia" w:eastAsia="方正仿宋_GBK"/>
          <w:sz w:val="32"/>
          <w:szCs w:val="32"/>
        </w:rPr>
        <w:t>2312.3</w:t>
      </w:r>
      <w:r>
        <w:rPr>
          <w:rFonts w:eastAsia="方正仿宋_GBK"/>
          <w:sz w:val="32"/>
        </w:rPr>
        <w:t>万元，比</w:t>
      </w:r>
      <w:r>
        <w:rPr>
          <w:rFonts w:eastAsia="方正仿宋_GBK"/>
          <w:sz w:val="32"/>
          <w:szCs w:val="32"/>
        </w:rPr>
        <w:t>202</w:t>
      </w:r>
      <w:r>
        <w:rPr>
          <w:rFonts w:hint="eastAsia" w:eastAsia="方正仿宋_GBK"/>
          <w:sz w:val="32"/>
          <w:szCs w:val="32"/>
        </w:rPr>
        <w:t>5</w:t>
      </w:r>
      <w:r>
        <w:rPr>
          <w:rFonts w:eastAsia="方正仿宋_GBK"/>
          <w:sz w:val="32"/>
        </w:rPr>
        <w:t>年</w:t>
      </w:r>
      <w:r>
        <w:rPr>
          <w:rFonts w:hint="eastAsia" w:eastAsia="方正仿宋_GBK"/>
          <w:sz w:val="32"/>
        </w:rPr>
        <w:t>增加286.35</w:t>
      </w:r>
      <w:r>
        <w:rPr>
          <w:rFonts w:eastAsia="方正仿宋_GBK"/>
          <w:sz w:val="32"/>
        </w:rPr>
        <w:t>万元。其中：基本支出</w:t>
      </w:r>
      <w:r>
        <w:rPr>
          <w:rFonts w:hint="eastAsia" w:eastAsia="方正仿宋_GBK"/>
          <w:sz w:val="32"/>
          <w:szCs w:val="32"/>
        </w:rPr>
        <w:t>2151.3</w:t>
      </w:r>
      <w:r>
        <w:rPr>
          <w:rFonts w:eastAsia="方正仿宋_GBK"/>
          <w:sz w:val="32"/>
        </w:rPr>
        <w:t>万元，比</w:t>
      </w:r>
      <w:r>
        <w:rPr>
          <w:rFonts w:eastAsia="方正仿宋_GBK"/>
          <w:sz w:val="32"/>
          <w:szCs w:val="32"/>
        </w:rPr>
        <w:t>202</w:t>
      </w:r>
      <w:r>
        <w:rPr>
          <w:rFonts w:hint="eastAsia" w:eastAsia="方正仿宋_GBK"/>
          <w:sz w:val="32"/>
          <w:szCs w:val="32"/>
        </w:rPr>
        <w:t>5</w:t>
      </w:r>
      <w:r>
        <w:rPr>
          <w:rFonts w:eastAsia="方正仿宋_GBK"/>
          <w:sz w:val="32"/>
        </w:rPr>
        <w:t>年</w:t>
      </w:r>
      <w:r>
        <w:rPr>
          <w:rFonts w:hint="eastAsia" w:eastAsia="方正仿宋_GBK"/>
          <w:sz w:val="32"/>
        </w:rPr>
        <w:t>增加</w:t>
      </w:r>
      <w:r>
        <w:rPr>
          <w:rFonts w:hint="eastAsia" w:eastAsia="方正仿宋_GBK"/>
          <w:sz w:val="32"/>
          <w:lang w:val="en-US" w:eastAsia="zh-CN"/>
        </w:rPr>
        <w:t>210.35</w:t>
      </w:r>
      <w:r>
        <w:rPr>
          <w:rFonts w:eastAsia="方正仿宋_GBK"/>
          <w:sz w:val="32"/>
        </w:rPr>
        <w:t>万元，</w:t>
      </w:r>
      <w:r>
        <w:rPr>
          <w:rFonts w:hint="eastAsia" w:ascii="方正仿宋_GBK" w:hAnsi="仿宋_GB2312" w:eastAsia="方正仿宋_GBK" w:cs="仿宋_GB2312"/>
          <w:sz w:val="32"/>
        </w:rPr>
        <w:t>主要增加了卫生健康支出</w:t>
      </w:r>
      <w:r>
        <w:rPr>
          <w:rFonts w:eastAsia="方正仿宋_GBK"/>
          <w:sz w:val="32"/>
        </w:rPr>
        <w:t>；</w:t>
      </w:r>
      <w:r>
        <w:rPr>
          <w:rFonts w:hint="default" w:ascii="Times New Roman" w:hAnsi="Times New Roman" w:eastAsia="方正仿宋_GBK" w:cs="Times New Roman"/>
          <w:sz w:val="32"/>
          <w:highlight w:val="none"/>
        </w:rPr>
        <w:t>主要用于保障在职人员工资福利及社会保险缴费，离休人员离休费，退休人员补助等，保障部门正常运转的各项商品服务支出；</w:t>
      </w:r>
      <w:r>
        <w:rPr>
          <w:rFonts w:eastAsia="方正仿宋_GBK"/>
          <w:sz w:val="32"/>
        </w:rPr>
        <w:t>项目支出</w:t>
      </w:r>
      <w:r>
        <w:rPr>
          <w:rFonts w:hint="eastAsia" w:eastAsia="方正仿宋_GBK"/>
          <w:sz w:val="32"/>
          <w:szCs w:val="32"/>
        </w:rPr>
        <w:t>161</w:t>
      </w:r>
      <w:r>
        <w:rPr>
          <w:rFonts w:eastAsia="方正仿宋_GBK"/>
          <w:sz w:val="32"/>
        </w:rPr>
        <w:t>万元，比</w:t>
      </w:r>
      <w:r>
        <w:rPr>
          <w:rFonts w:eastAsia="方正仿宋_GBK"/>
          <w:sz w:val="32"/>
          <w:szCs w:val="32"/>
        </w:rPr>
        <w:t>202</w:t>
      </w:r>
      <w:r>
        <w:rPr>
          <w:rFonts w:hint="eastAsia" w:eastAsia="方正仿宋_GBK"/>
          <w:sz w:val="32"/>
          <w:szCs w:val="32"/>
        </w:rPr>
        <w:t>5</w:t>
      </w:r>
      <w:r>
        <w:rPr>
          <w:rFonts w:eastAsia="方正仿宋_GBK"/>
          <w:sz w:val="32"/>
        </w:rPr>
        <w:t>年</w:t>
      </w:r>
      <w:r>
        <w:rPr>
          <w:rFonts w:hint="eastAsia" w:ascii="方正仿宋_GBK" w:hAnsi="仿宋_GB2312" w:eastAsia="方正仿宋_GBK" w:cs="仿宋_GB2312"/>
          <w:sz w:val="32"/>
        </w:rPr>
        <w:t>增加76万元</w:t>
      </w:r>
      <w:r>
        <w:rPr>
          <w:rFonts w:hint="eastAsia" w:ascii="方正仿宋_GBK" w:hAnsi="仿宋_GB2312" w:eastAsia="方正仿宋_GBK" w:cs="仿宋_GB2312"/>
          <w:sz w:val="32"/>
          <w:lang w:eastAsia="zh-CN"/>
        </w:rPr>
        <w:t>，主要是本年度增加疾病预防控制类项目</w:t>
      </w:r>
      <w:r>
        <w:rPr>
          <w:rFonts w:hint="eastAsia" w:ascii="方正仿宋_GBK" w:hAnsi="仿宋_GB2312" w:eastAsia="方正仿宋_GBK" w:cs="仿宋_GB2312"/>
          <w:sz w:val="32"/>
          <w:lang w:val="en-US" w:eastAsia="zh-CN"/>
        </w:rPr>
        <w:t>（</w:t>
      </w:r>
      <w:r>
        <w:rPr>
          <w:rFonts w:hint="eastAsia" w:ascii="方正仿宋_GBK" w:hAnsi="仿宋_GB2312" w:eastAsia="方正仿宋_GBK" w:cs="仿宋_GB2312"/>
          <w:sz w:val="32"/>
          <w:lang w:eastAsia="zh-CN"/>
        </w:rPr>
        <w:t>社会心理服务体系建设、免费服用第二代抗精神病药物等健康促进类等项目）</w:t>
      </w:r>
      <w:r>
        <w:rPr>
          <w:rFonts w:hint="eastAsia" w:ascii="方正仿宋_GBK" w:hAnsi="仿宋_GB2312" w:eastAsia="方正仿宋_GBK" w:cs="仿宋_GB2312"/>
          <w:sz w:val="32"/>
        </w:rPr>
        <w:t>。</w:t>
      </w:r>
    </w:p>
    <w:p w14:paraId="2E63DFD3">
      <w:pPr>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ascii="方正仿宋_GBK" w:hAnsi="仿宋_GB2312" w:eastAsia="方正仿宋_GBK" w:cs="仿宋_GB2312"/>
          <w:sz w:val="32"/>
        </w:rPr>
      </w:pPr>
      <w:r>
        <w:rPr>
          <w:rFonts w:hint="eastAsia" w:ascii="方正仿宋_GBK" w:hAnsi="仿宋_GB2312" w:eastAsia="方正仿宋_GBK" w:cs="仿宋_GB2312"/>
          <w:sz w:val="32"/>
          <w:lang w:eastAsia="zh-CN"/>
        </w:rPr>
        <w:t>重庆市</w:t>
      </w:r>
      <w:r>
        <w:rPr>
          <w:rFonts w:hint="eastAsia" w:ascii="方正仿宋_GBK" w:hAnsi="仿宋_GB2312" w:eastAsia="方正仿宋_GBK" w:cs="仿宋_GB2312"/>
          <w:sz w:val="32"/>
        </w:rPr>
        <w:t>开州区精神卫生中心</w:t>
      </w:r>
      <w:r>
        <w:rPr>
          <w:rFonts w:hint="eastAsia" w:eastAsia="方正仿宋_GBK"/>
          <w:sz w:val="32"/>
          <w:szCs w:val="32"/>
        </w:rPr>
        <w:t>2026</w:t>
      </w:r>
      <w:r>
        <w:rPr>
          <w:rFonts w:hint="eastAsia" w:ascii="方正仿宋_GBK" w:hAnsi="仿宋_GB2312" w:eastAsia="方正仿宋_GBK" w:cs="仿宋_GB2312"/>
          <w:sz w:val="32"/>
        </w:rPr>
        <w:t>年无使用政府性基金预算拨款安排的支出。</w:t>
      </w:r>
    </w:p>
    <w:p w14:paraId="4DB66297">
      <w:pPr>
        <w:keepNext w:val="0"/>
        <w:keepLines w:val="0"/>
        <w:pageBreakBefore w:val="0"/>
        <w:widowControl w:val="0"/>
        <w:kinsoku/>
        <w:wordWrap/>
        <w:overflowPunct/>
        <w:topLinePunct w:val="0"/>
        <w:autoSpaceDN/>
        <w:bidi w:val="0"/>
        <w:adjustRightInd/>
        <w:spacing w:line="560" w:lineRule="exact"/>
        <w:ind w:left="640"/>
        <w:textAlignment w:val="auto"/>
        <w:rPr>
          <w:rFonts w:eastAsia="方正仿宋_GBK"/>
          <w:sz w:val="32"/>
        </w:rPr>
      </w:pPr>
      <w:r>
        <w:rPr>
          <w:rFonts w:eastAsia="方正黑体_GBK"/>
          <w:sz w:val="32"/>
        </w:rPr>
        <w:t>四、</w:t>
      </w:r>
      <w:r>
        <w:rPr>
          <w:rFonts w:hint="eastAsia" w:ascii="方正黑体_GBK" w:eastAsia="方正黑体_GBK"/>
          <w:sz w:val="32"/>
        </w:rPr>
        <w:t>“三公”经</w:t>
      </w:r>
      <w:r>
        <w:rPr>
          <w:rFonts w:eastAsia="方正黑体_GBK"/>
          <w:sz w:val="32"/>
        </w:rPr>
        <w:t>费情况说明</w:t>
      </w:r>
    </w:p>
    <w:p w14:paraId="0459D0DD">
      <w:pPr>
        <w:keepNext w:val="0"/>
        <w:keepLines w:val="0"/>
        <w:pageBreakBefore w:val="0"/>
        <w:widowControl w:val="0"/>
        <w:kinsoku/>
        <w:wordWrap/>
        <w:overflowPunct/>
        <w:topLinePunct w:val="0"/>
        <w:autoSpaceDN/>
        <w:bidi w:val="0"/>
        <w:adjustRightInd/>
        <w:spacing w:line="560" w:lineRule="exact"/>
        <w:ind w:firstLine="600"/>
        <w:textAlignment w:val="auto"/>
        <w:rPr>
          <w:rFonts w:eastAsia="方正仿宋_GBK"/>
          <w:sz w:val="32"/>
        </w:rPr>
      </w:pPr>
      <w:r>
        <w:rPr>
          <w:rFonts w:eastAsia="方正仿宋_GBK"/>
          <w:sz w:val="32"/>
          <w:szCs w:val="32"/>
        </w:rPr>
        <w:t>202</w:t>
      </w:r>
      <w:r>
        <w:rPr>
          <w:rFonts w:hint="eastAsia" w:eastAsia="方正仿宋_GBK"/>
          <w:sz w:val="32"/>
          <w:szCs w:val="32"/>
        </w:rPr>
        <w:t>6</w:t>
      </w:r>
      <w:r>
        <w:rPr>
          <w:rFonts w:eastAsia="方正仿宋_GBK"/>
          <w:sz w:val="32"/>
        </w:rPr>
        <w:t>年</w:t>
      </w:r>
      <w:r>
        <w:rPr>
          <w:rFonts w:hint="eastAsia" w:ascii="方正仿宋_GBK" w:eastAsia="方正仿宋_GBK"/>
          <w:sz w:val="32"/>
        </w:rPr>
        <w:t>“三公”经</w:t>
      </w:r>
      <w:r>
        <w:rPr>
          <w:rFonts w:eastAsia="方正仿宋_GBK"/>
          <w:sz w:val="32"/>
        </w:rPr>
        <w:t>费预算</w:t>
      </w:r>
      <w:r>
        <w:rPr>
          <w:rFonts w:hint="eastAsia" w:eastAsia="方正仿宋_GBK"/>
          <w:sz w:val="32"/>
          <w:szCs w:val="32"/>
        </w:rPr>
        <w:t>0</w:t>
      </w:r>
      <w:r>
        <w:rPr>
          <w:rFonts w:eastAsia="方正仿宋_GBK"/>
          <w:sz w:val="32"/>
        </w:rPr>
        <w:t>万元</w:t>
      </w:r>
      <w:r>
        <w:rPr>
          <w:rFonts w:hint="eastAsia" w:eastAsia="方正仿宋_GBK"/>
          <w:sz w:val="32"/>
        </w:rPr>
        <w:t>，</w:t>
      </w:r>
      <w:r>
        <w:rPr>
          <w:rFonts w:eastAsia="方正仿宋_GBK"/>
          <w:sz w:val="32"/>
        </w:rPr>
        <w:t>主要原因是</w:t>
      </w:r>
      <w:r>
        <w:rPr>
          <w:rFonts w:hint="eastAsia" w:eastAsia="方正仿宋_GBK"/>
          <w:sz w:val="32"/>
        </w:rPr>
        <w:t>我单位为差额拨款</w:t>
      </w:r>
      <w:r>
        <w:rPr>
          <w:rFonts w:hint="eastAsia" w:eastAsia="方正仿宋_GBK"/>
          <w:sz w:val="32"/>
          <w:lang w:eastAsia="zh-CN"/>
        </w:rPr>
        <w:t>预算</w:t>
      </w:r>
      <w:r>
        <w:rPr>
          <w:rFonts w:hint="eastAsia" w:eastAsia="方正仿宋_GBK"/>
          <w:sz w:val="32"/>
        </w:rPr>
        <w:t>单位，财政未保障我单位“三公”经费</w:t>
      </w:r>
      <w:r>
        <w:rPr>
          <w:rFonts w:eastAsia="方正仿宋_GBK"/>
          <w:sz w:val="32"/>
        </w:rPr>
        <w:t>。</w:t>
      </w:r>
    </w:p>
    <w:p w14:paraId="42D11BB3">
      <w:pPr>
        <w:keepNext w:val="0"/>
        <w:keepLines w:val="0"/>
        <w:pageBreakBefore w:val="0"/>
        <w:widowControl w:val="0"/>
        <w:kinsoku/>
        <w:wordWrap/>
        <w:overflowPunct/>
        <w:topLinePunct w:val="0"/>
        <w:autoSpaceDN/>
        <w:bidi w:val="0"/>
        <w:adjustRightInd/>
        <w:spacing w:line="560" w:lineRule="exact"/>
        <w:ind w:left="640"/>
        <w:textAlignment w:val="auto"/>
        <w:rPr>
          <w:rFonts w:eastAsia="方正黑体_GBK"/>
          <w:sz w:val="32"/>
        </w:rPr>
      </w:pPr>
      <w:r>
        <w:rPr>
          <w:rFonts w:eastAsia="方正黑体_GBK"/>
          <w:sz w:val="32"/>
        </w:rPr>
        <w:t>五、其他重要事项的情况说明</w:t>
      </w:r>
    </w:p>
    <w:p w14:paraId="32329873">
      <w:pPr>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eastAsia="方正仿宋_GBK"/>
          <w:sz w:val="32"/>
        </w:rPr>
      </w:pPr>
      <w:r>
        <w:rPr>
          <w:rFonts w:hint="default" w:ascii="方正楷体_GBK" w:hAnsi="方正楷体_GBK" w:eastAsia="方正楷体_GBK" w:cs="方正楷体_GBK"/>
          <w:b w:val="0"/>
          <w:bCs w:val="0"/>
          <w:sz w:val="32"/>
          <w:szCs w:val="32"/>
          <w:highlight w:val="none"/>
        </w:rPr>
        <w:t>（一）</w:t>
      </w:r>
      <w:r>
        <w:rPr>
          <w:rFonts w:hint="default" w:ascii="Times New Roman" w:hAnsi="Times New Roman" w:eastAsia="方正楷体_GBK" w:cs="Times New Roman"/>
          <w:sz w:val="32"/>
          <w:highlight w:val="none"/>
          <w:woUserID w:val="1"/>
        </w:rPr>
        <w:t>机关运行经费。</w:t>
      </w:r>
      <w:r>
        <w:rPr>
          <w:rFonts w:hint="eastAsia" w:eastAsia="方正仿宋_GBK"/>
          <w:sz w:val="32"/>
        </w:rPr>
        <w:t>本</w:t>
      </w:r>
      <w:r>
        <w:rPr>
          <w:rFonts w:eastAsia="方正仿宋_GBK"/>
          <w:sz w:val="32"/>
        </w:rPr>
        <w:t>单位不在机关运行经费统计范围之内。</w:t>
      </w:r>
    </w:p>
    <w:p w14:paraId="1B442B1E">
      <w:pPr>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eastAsia="方正仿宋_GBK"/>
          <w:sz w:val="32"/>
        </w:rPr>
      </w:pPr>
      <w:r>
        <w:rPr>
          <w:rFonts w:hint="eastAsia" w:ascii="方正楷体_GBK" w:hAnsi="方正楷体_GBK" w:eastAsia="方正楷体_GBK" w:cs="方正楷体_GBK"/>
          <w:b w:val="0"/>
          <w:bCs w:val="0"/>
          <w:sz w:val="32"/>
          <w:szCs w:val="32"/>
          <w:highlight w:val="none"/>
        </w:rPr>
        <w:t>（二）</w:t>
      </w:r>
      <w:r>
        <w:rPr>
          <w:rFonts w:hint="eastAsia" w:ascii="方正楷体_GBK" w:hAnsi="方正楷体_GBK" w:eastAsia="方正楷体_GBK" w:cs="方正楷体_GBK"/>
          <w:b w:val="0"/>
          <w:bCs w:val="0"/>
          <w:sz w:val="32"/>
          <w:highlight w:val="none"/>
        </w:rPr>
        <w:t>政府采购情况。</w:t>
      </w:r>
      <w:r>
        <w:rPr>
          <w:rFonts w:hint="eastAsia" w:ascii="Times New Roman" w:hAnsi="Times New Roman" w:eastAsia="方正仿宋_GBK" w:cs="Times New Roman"/>
          <w:sz w:val="32"/>
          <w:highlight w:val="none"/>
          <w:lang w:eastAsia="zh-CN"/>
        </w:rPr>
        <w:t>本</w:t>
      </w:r>
      <w:r>
        <w:rPr>
          <w:rFonts w:hint="eastAsia" w:eastAsia="方正仿宋_GBK"/>
          <w:sz w:val="32"/>
        </w:rPr>
        <w:t>本单位</w:t>
      </w:r>
      <w:r>
        <w:rPr>
          <w:rFonts w:eastAsia="方正仿宋_GBK"/>
          <w:sz w:val="32"/>
        </w:rPr>
        <w:t>政府采购预算总额</w:t>
      </w:r>
      <w:r>
        <w:rPr>
          <w:rFonts w:hint="eastAsia" w:eastAsia="方正仿宋_GBK"/>
          <w:sz w:val="32"/>
          <w:szCs w:val="32"/>
        </w:rPr>
        <w:t>6</w:t>
      </w:r>
      <w:r>
        <w:rPr>
          <w:rFonts w:hint="eastAsia" w:eastAsia="方正仿宋_GBK"/>
          <w:sz w:val="32"/>
          <w:szCs w:val="32"/>
          <w:lang w:val="en-US" w:eastAsia="zh-CN"/>
        </w:rPr>
        <w:t>59</w:t>
      </w:r>
      <w:r>
        <w:rPr>
          <w:rFonts w:hint="eastAsia" w:eastAsia="方正仿宋_GBK"/>
          <w:sz w:val="32"/>
          <w:szCs w:val="32"/>
        </w:rPr>
        <w:t>.54</w:t>
      </w:r>
      <w:r>
        <w:rPr>
          <w:rFonts w:eastAsia="方正仿宋_GBK"/>
          <w:sz w:val="32"/>
        </w:rPr>
        <w:t>万元：政府采购货物预算</w:t>
      </w:r>
      <w:r>
        <w:rPr>
          <w:rFonts w:hint="eastAsia" w:eastAsia="方正仿宋_GBK"/>
          <w:sz w:val="32"/>
          <w:szCs w:val="32"/>
          <w:lang w:val="en-US" w:eastAsia="zh-CN"/>
        </w:rPr>
        <w:t>444.54</w:t>
      </w:r>
      <w:r>
        <w:rPr>
          <w:rFonts w:eastAsia="方正仿宋_GBK"/>
          <w:sz w:val="32"/>
        </w:rPr>
        <w:t>万元、政府采购工程预算</w:t>
      </w:r>
      <w:r>
        <w:rPr>
          <w:rFonts w:hint="eastAsia" w:eastAsia="方正仿宋_GBK"/>
          <w:sz w:val="32"/>
          <w:szCs w:val="32"/>
          <w:lang w:val="en-US" w:eastAsia="zh-CN"/>
        </w:rPr>
        <w:t>0</w:t>
      </w:r>
      <w:r>
        <w:rPr>
          <w:rFonts w:eastAsia="方正仿宋_GBK"/>
          <w:sz w:val="32"/>
        </w:rPr>
        <w:t>万元、政府采购服务预算</w:t>
      </w:r>
      <w:r>
        <w:rPr>
          <w:rFonts w:hint="eastAsia" w:eastAsia="方正仿宋_GBK"/>
          <w:sz w:val="32"/>
          <w:szCs w:val="32"/>
          <w:lang w:val="en-US" w:eastAsia="zh-CN"/>
        </w:rPr>
        <w:t>215</w:t>
      </w:r>
      <w:r>
        <w:rPr>
          <w:rFonts w:eastAsia="方正仿宋_GBK"/>
          <w:sz w:val="32"/>
        </w:rPr>
        <w:t>万元；其中一般公共预算拨款政府采购</w:t>
      </w:r>
      <w:r>
        <w:rPr>
          <w:rFonts w:hint="eastAsia" w:eastAsia="方正仿宋_GBK"/>
          <w:sz w:val="32"/>
          <w:lang w:val="en-US" w:eastAsia="zh-CN"/>
        </w:rPr>
        <w:t>0</w:t>
      </w:r>
      <w:r>
        <w:rPr>
          <w:rFonts w:eastAsia="方正仿宋_GBK"/>
          <w:sz w:val="32"/>
        </w:rPr>
        <w:t>万元：政府采购货物预算</w:t>
      </w:r>
      <w:r>
        <w:rPr>
          <w:rFonts w:hint="eastAsia" w:eastAsia="方正仿宋_GBK"/>
          <w:sz w:val="32"/>
          <w:szCs w:val="32"/>
        </w:rPr>
        <w:t>0</w:t>
      </w:r>
      <w:r>
        <w:rPr>
          <w:rFonts w:eastAsia="方正仿宋_GBK"/>
          <w:sz w:val="32"/>
        </w:rPr>
        <w:t>万元、政府采购工程预算</w:t>
      </w:r>
      <w:r>
        <w:rPr>
          <w:rFonts w:hint="eastAsia" w:eastAsia="方正仿宋_GBK"/>
          <w:sz w:val="32"/>
          <w:szCs w:val="32"/>
        </w:rPr>
        <w:t>0</w:t>
      </w:r>
      <w:r>
        <w:rPr>
          <w:rFonts w:eastAsia="方正仿宋_GBK"/>
          <w:sz w:val="32"/>
        </w:rPr>
        <w:t>万元、政府采购服务预算</w:t>
      </w:r>
      <w:r>
        <w:rPr>
          <w:rFonts w:hint="eastAsia" w:eastAsia="方正仿宋_GBK"/>
          <w:sz w:val="32"/>
          <w:szCs w:val="32"/>
        </w:rPr>
        <w:t>0</w:t>
      </w:r>
      <w:r>
        <w:rPr>
          <w:rFonts w:eastAsia="方正仿宋_GBK"/>
          <w:sz w:val="32"/>
        </w:rPr>
        <w:t>万元。</w:t>
      </w:r>
    </w:p>
    <w:p w14:paraId="4901ED81">
      <w:pPr>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eastAsia="方正仿宋_GBK"/>
          <w:color w:val="000000"/>
          <w:sz w:val="32"/>
        </w:rPr>
      </w:pPr>
      <w:r>
        <w:rPr>
          <w:rFonts w:hint="eastAsia" w:ascii="方正楷体_GBK" w:hAnsi="方正楷体_GBK" w:eastAsia="方正楷体_GBK" w:cs="方正楷体_GBK"/>
          <w:b w:val="0"/>
          <w:bCs w:val="0"/>
          <w:sz w:val="32"/>
          <w:szCs w:val="32"/>
          <w:highlight w:val="none"/>
        </w:rPr>
        <w:t>（三）</w:t>
      </w:r>
      <w:r>
        <w:rPr>
          <w:rFonts w:hint="eastAsia" w:ascii="方正楷体_GBK" w:hAnsi="方正楷体_GBK" w:eastAsia="方正楷体_GBK" w:cs="方正楷体_GBK"/>
          <w:b w:val="0"/>
          <w:bCs w:val="0"/>
          <w:sz w:val="32"/>
          <w:highlight w:val="none"/>
        </w:rPr>
        <w:t>绩效目标设置情况。</w:t>
      </w:r>
      <w:r>
        <w:rPr>
          <w:rFonts w:eastAsia="方正仿宋_GBK"/>
          <w:sz w:val="32"/>
          <w:szCs w:val="32"/>
        </w:rPr>
        <w:t>202</w:t>
      </w:r>
      <w:r>
        <w:rPr>
          <w:rFonts w:hint="eastAsia" w:eastAsia="方正仿宋_GBK"/>
          <w:sz w:val="32"/>
          <w:szCs w:val="32"/>
        </w:rPr>
        <w:t>6</w:t>
      </w:r>
      <w:r>
        <w:rPr>
          <w:rFonts w:eastAsia="方正仿宋_GBK"/>
          <w:color w:val="000000"/>
          <w:sz w:val="32"/>
        </w:rPr>
        <w:t>年项目支出均实行了绩效目标管理，涉及一般公共预算当年财政拨款</w:t>
      </w:r>
      <w:r>
        <w:rPr>
          <w:rFonts w:hint="eastAsia" w:eastAsia="方正仿宋_GBK"/>
          <w:sz w:val="32"/>
          <w:szCs w:val="32"/>
          <w:lang w:val="en-US" w:eastAsia="zh-CN"/>
        </w:rPr>
        <w:t>161</w:t>
      </w:r>
      <w:r>
        <w:rPr>
          <w:rFonts w:eastAsia="方正仿宋_GBK"/>
          <w:color w:val="000000"/>
          <w:sz w:val="32"/>
        </w:rPr>
        <w:t>万元。</w:t>
      </w:r>
    </w:p>
    <w:p w14:paraId="5DB95F10">
      <w:pPr>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eastAsia="方正仿宋_GBK"/>
          <w:color w:val="000000"/>
          <w:sz w:val="32"/>
        </w:rPr>
      </w:pPr>
      <w:r>
        <w:rPr>
          <w:rFonts w:hint="default" w:ascii="方正楷体_GBK" w:hAnsi="方正楷体_GBK" w:eastAsia="方正楷体_GBK" w:cs="方正楷体_GBK"/>
          <w:b w:val="0"/>
          <w:bCs w:val="0"/>
          <w:sz w:val="32"/>
          <w:szCs w:val="32"/>
          <w:highlight w:val="none"/>
        </w:rPr>
        <w:t>（四）国有资产占有使用情况。</w:t>
      </w:r>
      <w:r>
        <w:rPr>
          <w:rFonts w:eastAsia="方正仿宋_GBK"/>
          <w:color w:val="000000"/>
          <w:sz w:val="32"/>
        </w:rPr>
        <w:t>截止</w:t>
      </w:r>
      <w:r>
        <w:rPr>
          <w:rFonts w:eastAsia="方正仿宋_GBK"/>
          <w:sz w:val="32"/>
          <w:szCs w:val="32"/>
        </w:rPr>
        <w:t>202</w:t>
      </w:r>
      <w:r>
        <w:rPr>
          <w:rFonts w:hint="eastAsia" w:eastAsia="方正仿宋_GBK"/>
          <w:sz w:val="32"/>
          <w:szCs w:val="32"/>
        </w:rPr>
        <w:t>5</w:t>
      </w:r>
      <w:r>
        <w:rPr>
          <w:rFonts w:eastAsia="方正仿宋_GBK"/>
          <w:color w:val="000000"/>
          <w:sz w:val="32"/>
        </w:rPr>
        <w:t>年</w:t>
      </w:r>
      <w:r>
        <w:rPr>
          <w:rFonts w:eastAsia="方正仿宋_GBK"/>
          <w:sz w:val="32"/>
          <w:szCs w:val="32"/>
        </w:rPr>
        <w:t>12</w:t>
      </w:r>
      <w:r>
        <w:rPr>
          <w:rFonts w:eastAsia="方正仿宋_GBK"/>
          <w:color w:val="000000"/>
          <w:sz w:val="32"/>
        </w:rPr>
        <w:t>月，</w:t>
      </w:r>
      <w:r>
        <w:rPr>
          <w:rFonts w:hint="eastAsia" w:eastAsia="方正仿宋_GBK"/>
          <w:color w:val="000000"/>
          <w:sz w:val="32"/>
        </w:rPr>
        <w:t>本</w:t>
      </w:r>
      <w:r>
        <w:rPr>
          <w:rFonts w:eastAsia="方正仿宋_GBK"/>
          <w:color w:val="000000"/>
          <w:sz w:val="32"/>
        </w:rPr>
        <w:t>单位共有车辆</w:t>
      </w:r>
      <w:r>
        <w:rPr>
          <w:rFonts w:hint="eastAsia" w:eastAsia="方正仿宋_GBK"/>
          <w:sz w:val="32"/>
          <w:szCs w:val="32"/>
        </w:rPr>
        <w:t>2</w:t>
      </w:r>
      <w:r>
        <w:rPr>
          <w:rFonts w:eastAsia="方正仿宋_GBK"/>
          <w:color w:val="000000"/>
          <w:sz w:val="32"/>
        </w:rPr>
        <w:t>辆，其中一般公务用车</w:t>
      </w:r>
      <w:r>
        <w:rPr>
          <w:rFonts w:hint="eastAsia" w:eastAsia="方正仿宋_GBK"/>
          <w:sz w:val="32"/>
          <w:szCs w:val="32"/>
        </w:rPr>
        <w:t>2</w:t>
      </w:r>
      <w:r>
        <w:rPr>
          <w:rFonts w:eastAsia="方正仿宋_GBK"/>
          <w:color w:val="000000"/>
          <w:sz w:val="32"/>
        </w:rPr>
        <w:t>辆、执勤执法用车</w:t>
      </w:r>
      <w:r>
        <w:rPr>
          <w:rFonts w:hint="eastAsia" w:eastAsia="方正仿宋_GBK"/>
          <w:sz w:val="32"/>
          <w:szCs w:val="32"/>
        </w:rPr>
        <w:t>0</w:t>
      </w:r>
      <w:r>
        <w:rPr>
          <w:rFonts w:eastAsia="方正仿宋_GBK"/>
          <w:color w:val="000000"/>
          <w:sz w:val="32"/>
        </w:rPr>
        <w:t>辆。</w:t>
      </w:r>
      <w:r>
        <w:rPr>
          <w:rFonts w:eastAsia="方正仿宋_GBK"/>
          <w:sz w:val="32"/>
          <w:szCs w:val="32"/>
        </w:rPr>
        <w:t>202</w:t>
      </w:r>
      <w:r>
        <w:rPr>
          <w:rFonts w:hint="eastAsia" w:eastAsia="方正仿宋_GBK"/>
          <w:sz w:val="32"/>
          <w:szCs w:val="32"/>
        </w:rPr>
        <w:t>6</w:t>
      </w:r>
      <w:r>
        <w:rPr>
          <w:rFonts w:eastAsia="方正仿宋_GBK"/>
          <w:color w:val="000000"/>
          <w:sz w:val="32"/>
        </w:rPr>
        <w:t>年一般公共预算安排购置车辆</w:t>
      </w:r>
      <w:r>
        <w:rPr>
          <w:rFonts w:hint="eastAsia" w:eastAsia="方正仿宋_GBK"/>
          <w:sz w:val="32"/>
          <w:szCs w:val="32"/>
        </w:rPr>
        <w:t>0</w:t>
      </w:r>
      <w:r>
        <w:rPr>
          <w:rFonts w:eastAsia="方正仿宋_GBK"/>
          <w:color w:val="000000"/>
          <w:sz w:val="32"/>
        </w:rPr>
        <w:t>辆，其中一般公务用车</w:t>
      </w:r>
      <w:r>
        <w:rPr>
          <w:rFonts w:hint="eastAsia" w:eastAsia="方正仿宋_GBK"/>
          <w:sz w:val="32"/>
          <w:szCs w:val="32"/>
        </w:rPr>
        <w:t>0</w:t>
      </w:r>
      <w:r>
        <w:rPr>
          <w:rFonts w:eastAsia="方正仿宋_GBK"/>
          <w:color w:val="000000"/>
          <w:sz w:val="32"/>
        </w:rPr>
        <w:t>辆、执勤执法用车</w:t>
      </w:r>
      <w:r>
        <w:rPr>
          <w:rFonts w:hint="eastAsia" w:eastAsia="方正仿宋_GBK"/>
          <w:sz w:val="32"/>
          <w:szCs w:val="32"/>
        </w:rPr>
        <w:t>0</w:t>
      </w:r>
      <w:r>
        <w:rPr>
          <w:rFonts w:eastAsia="方正仿宋_GBK"/>
          <w:color w:val="000000"/>
          <w:sz w:val="32"/>
        </w:rPr>
        <w:t>辆。</w:t>
      </w:r>
    </w:p>
    <w:p w14:paraId="5583B42F">
      <w:pPr>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eastAsia="方正仿宋_GBK"/>
          <w:sz w:val="32"/>
          <w:szCs w:val="32"/>
        </w:rPr>
      </w:pPr>
      <w:r>
        <w:rPr>
          <w:rFonts w:eastAsia="方正黑体_GBK"/>
          <w:sz w:val="32"/>
        </w:rPr>
        <w:t>六、专业性名词解释</w:t>
      </w:r>
    </w:p>
    <w:p w14:paraId="48AF1197">
      <w:pPr>
        <w:pStyle w:val="12"/>
        <w:keepNext w:val="0"/>
        <w:keepLines w:val="0"/>
        <w:pageBreakBefore w:val="0"/>
        <w:widowControl w:val="0"/>
        <w:tabs>
          <w:tab w:val="center" w:pos="4153"/>
          <w:tab w:val="left" w:pos="7275"/>
        </w:tabs>
        <w:kinsoku/>
        <w:wordWrap/>
        <w:overflowPunct/>
        <w:topLinePunct w:val="0"/>
        <w:autoSpaceDN/>
        <w:bidi w:val="0"/>
        <w:adjustRightInd/>
        <w:spacing w:line="560" w:lineRule="exact"/>
        <w:ind w:firstLine="640"/>
        <w:jc w:val="left"/>
        <w:textAlignment w:val="auto"/>
        <w:rPr>
          <w:rFonts w:ascii="Times New Roman" w:hAnsi="Times New Roman" w:eastAsia="方正仿宋_GBK"/>
          <w:sz w:val="32"/>
          <w:szCs w:val="32"/>
        </w:rPr>
      </w:pPr>
      <w:r>
        <w:rPr>
          <w:rFonts w:hint="eastAsia" w:ascii="方正楷体_GBK" w:hAnsi="Times New Roman" w:eastAsia="方正楷体_GBK"/>
          <w:sz w:val="32"/>
          <w:szCs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14:paraId="1754AC27">
      <w:pPr>
        <w:pStyle w:val="12"/>
        <w:keepNext w:val="0"/>
        <w:keepLines w:val="0"/>
        <w:pageBreakBefore w:val="0"/>
        <w:widowControl w:val="0"/>
        <w:tabs>
          <w:tab w:val="center" w:pos="4153"/>
          <w:tab w:val="left" w:pos="7275"/>
        </w:tabs>
        <w:kinsoku/>
        <w:wordWrap/>
        <w:overflowPunct/>
        <w:topLinePunct w:val="0"/>
        <w:autoSpaceDN/>
        <w:bidi w:val="0"/>
        <w:adjustRightInd/>
        <w:spacing w:line="560" w:lineRule="exact"/>
        <w:ind w:firstLine="640"/>
        <w:jc w:val="left"/>
        <w:textAlignment w:val="auto"/>
        <w:rPr>
          <w:rFonts w:ascii="方正仿宋_GBK" w:hAnsi="Times New Roman" w:eastAsia="方正仿宋_GBK"/>
          <w:sz w:val="32"/>
          <w:szCs w:val="32"/>
        </w:rPr>
      </w:pPr>
      <w:r>
        <w:rPr>
          <w:rFonts w:hint="eastAsia" w:ascii="方正楷体_GBK" w:hAnsi="Times New Roman" w:eastAsia="方正楷体_GBK"/>
          <w:sz w:val="32"/>
          <w:szCs w:val="32"/>
        </w:rPr>
        <w:t>（二）其他收入。</w:t>
      </w:r>
      <w:r>
        <w:rPr>
          <w:rFonts w:ascii="Times New Roman" w:hAnsi="Times New Roman" w:eastAsia="方正仿宋_GBK"/>
          <w:sz w:val="32"/>
          <w:szCs w:val="32"/>
        </w:rPr>
        <w:t>指单位取</w:t>
      </w:r>
      <w:r>
        <w:rPr>
          <w:rFonts w:hint="eastAsia" w:ascii="方正仿宋_GBK" w:hAnsi="Times New Roman" w:eastAsia="方正仿宋_GBK"/>
          <w:sz w:val="32"/>
          <w:szCs w:val="32"/>
        </w:rPr>
        <w:t>得的除“财政拨款收入”、“事业收入”、“经营收入”等以外的收入。</w:t>
      </w:r>
    </w:p>
    <w:p w14:paraId="35889684">
      <w:pPr>
        <w:pStyle w:val="12"/>
        <w:keepNext w:val="0"/>
        <w:keepLines w:val="0"/>
        <w:pageBreakBefore w:val="0"/>
        <w:widowControl w:val="0"/>
        <w:tabs>
          <w:tab w:val="center" w:pos="4153"/>
          <w:tab w:val="left" w:pos="7275"/>
        </w:tabs>
        <w:kinsoku/>
        <w:wordWrap/>
        <w:overflowPunct/>
        <w:topLinePunct w:val="0"/>
        <w:autoSpaceDN/>
        <w:bidi w:val="0"/>
        <w:adjustRightInd/>
        <w:spacing w:line="560" w:lineRule="exact"/>
        <w:ind w:firstLine="640"/>
        <w:jc w:val="left"/>
        <w:textAlignment w:val="auto"/>
        <w:rPr>
          <w:rFonts w:ascii="Times New Roman" w:hAnsi="Times New Roman" w:eastAsia="方正仿宋_GBK"/>
          <w:sz w:val="32"/>
          <w:szCs w:val="32"/>
        </w:rPr>
      </w:pPr>
      <w:r>
        <w:rPr>
          <w:rFonts w:hint="eastAsia" w:ascii="方正楷体_GBK" w:hAnsi="Times New Roman" w:eastAsia="方正楷体_GBK"/>
          <w:sz w:val="32"/>
          <w:szCs w:val="32"/>
        </w:rPr>
        <w:t>（三）基本支出。</w:t>
      </w:r>
      <w:r>
        <w:rPr>
          <w:rFonts w:ascii="Times New Roman" w:hAnsi="Times New Roman" w:eastAsia="方正仿宋_GBK"/>
          <w:sz w:val="32"/>
          <w:szCs w:val="32"/>
        </w:rPr>
        <w:t>指为保障机构正常运转、完成日常工作任务而发生的人员经费和公用经费。</w:t>
      </w:r>
    </w:p>
    <w:p w14:paraId="316C1B3E">
      <w:pPr>
        <w:pStyle w:val="12"/>
        <w:keepNext w:val="0"/>
        <w:keepLines w:val="0"/>
        <w:pageBreakBefore w:val="0"/>
        <w:widowControl w:val="0"/>
        <w:tabs>
          <w:tab w:val="center" w:pos="4153"/>
          <w:tab w:val="left" w:pos="7275"/>
        </w:tabs>
        <w:kinsoku/>
        <w:wordWrap/>
        <w:overflowPunct/>
        <w:topLinePunct w:val="0"/>
        <w:autoSpaceDN/>
        <w:bidi w:val="0"/>
        <w:adjustRightInd/>
        <w:spacing w:line="560" w:lineRule="exact"/>
        <w:ind w:firstLine="640"/>
        <w:jc w:val="left"/>
        <w:textAlignment w:val="auto"/>
        <w:rPr>
          <w:rFonts w:ascii="Times New Roman" w:hAnsi="Times New Roman" w:eastAsia="方正仿宋_GBK"/>
          <w:sz w:val="32"/>
          <w:szCs w:val="32"/>
        </w:rPr>
      </w:pPr>
      <w:r>
        <w:rPr>
          <w:rFonts w:hint="eastAsia" w:ascii="方正楷体_GBK" w:hAnsi="Times New Roman" w:eastAsia="方正楷体_GBK"/>
          <w:sz w:val="32"/>
          <w:szCs w:val="32"/>
        </w:rPr>
        <w:t>（四）项目支出。</w:t>
      </w:r>
      <w:r>
        <w:rPr>
          <w:rFonts w:ascii="Times New Roman" w:hAnsi="Times New Roman" w:eastAsia="方正仿宋_GBK"/>
          <w:sz w:val="32"/>
          <w:szCs w:val="32"/>
        </w:rPr>
        <w:t>指在基本支出之外为完成特定行政任务和事业发展目标所发生的支出。</w:t>
      </w:r>
    </w:p>
    <w:p w14:paraId="0E152EDB">
      <w:pPr>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eastAsia="方正小标宋_GBK"/>
          <w:sz w:val="44"/>
          <w:szCs w:val="44"/>
        </w:rPr>
      </w:pPr>
      <w:r>
        <w:rPr>
          <w:rFonts w:hint="eastAsia" w:ascii="方正楷体_GBK" w:eastAsia="方正楷体_GBK"/>
          <w:sz w:val="32"/>
          <w:szCs w:val="32"/>
        </w:rPr>
        <w:t>（五）“三公”经费。</w:t>
      </w:r>
      <w:r>
        <w:rPr>
          <w:rFonts w:hint="eastAsia" w:ascii="方正仿宋_GBK" w:eastAsia="方正仿宋_GBK"/>
          <w:sz w:val="32"/>
          <w:szCs w:val="32"/>
        </w:rPr>
        <w:t>指用一</w:t>
      </w:r>
      <w:r>
        <w:rPr>
          <w:rFonts w:eastAsia="方正仿宋_GBK"/>
          <w:sz w:val="32"/>
          <w:szCs w:val="32"/>
        </w:rPr>
        <w:t>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F6C9F1D">
      <w:pPr>
        <w:keepNext w:val="0"/>
        <w:keepLines w:val="0"/>
        <w:pageBreakBefore w:val="0"/>
        <w:widowControl w:val="0"/>
        <w:kinsoku/>
        <w:wordWrap/>
        <w:overflowPunct/>
        <w:topLinePunct w:val="0"/>
        <w:autoSpaceDN/>
        <w:bidi w:val="0"/>
        <w:adjustRightInd/>
        <w:spacing w:line="560" w:lineRule="exact"/>
        <w:ind w:firstLine="880" w:firstLineChars="200"/>
        <w:textAlignment w:val="auto"/>
        <w:rPr>
          <w:rFonts w:hint="eastAsia" w:eastAsia="方正小标宋_GBK"/>
          <w:sz w:val="44"/>
          <w:szCs w:val="44"/>
        </w:rPr>
      </w:pPr>
    </w:p>
    <w:p w14:paraId="291BCACE">
      <w:pPr>
        <w:keepNext w:val="0"/>
        <w:keepLines w:val="0"/>
        <w:pageBreakBefore w:val="0"/>
        <w:widowControl w:val="0"/>
        <w:kinsoku/>
        <w:wordWrap/>
        <w:overflowPunct/>
        <w:topLinePunct w:val="0"/>
        <w:autoSpaceDN/>
        <w:bidi w:val="0"/>
        <w:adjustRightInd/>
        <w:spacing w:line="560" w:lineRule="exact"/>
        <w:ind w:firstLine="880" w:firstLineChars="200"/>
        <w:textAlignment w:val="auto"/>
        <w:rPr>
          <w:rFonts w:hint="eastAsia" w:eastAsia="方正小标宋_GBK"/>
          <w:sz w:val="44"/>
          <w:szCs w:val="44"/>
        </w:rPr>
      </w:pPr>
    </w:p>
    <w:p w14:paraId="0D42CBFF">
      <w:pPr>
        <w:keepNext w:val="0"/>
        <w:keepLines w:val="0"/>
        <w:pageBreakBefore w:val="0"/>
        <w:widowControl w:val="0"/>
        <w:kinsoku/>
        <w:wordWrap/>
        <w:overflowPunct/>
        <w:topLinePunct w:val="0"/>
        <w:autoSpaceDN/>
        <w:bidi w:val="0"/>
        <w:adjustRightInd/>
        <w:spacing w:line="560" w:lineRule="exact"/>
        <w:ind w:firstLine="880" w:firstLineChars="200"/>
        <w:textAlignment w:val="auto"/>
        <w:rPr>
          <w:rFonts w:eastAsia="方正小标宋_GBK"/>
          <w:sz w:val="44"/>
          <w:szCs w:val="44"/>
        </w:rPr>
      </w:pPr>
      <w:r>
        <w:rPr>
          <w:rFonts w:hint="eastAsia" w:eastAsia="方正小标宋_GBK"/>
          <w:sz w:val="44"/>
          <w:szCs w:val="44"/>
        </w:rPr>
        <w:t>第二部分：</w:t>
      </w:r>
      <w:r>
        <w:rPr>
          <w:rFonts w:hint="eastAsia" w:eastAsia="方正仿宋_GBK"/>
          <w:sz w:val="44"/>
          <w:szCs w:val="44"/>
        </w:rPr>
        <w:t>2026</w:t>
      </w:r>
      <w:r>
        <w:rPr>
          <w:rFonts w:hint="eastAsia" w:eastAsia="方正小标宋_GBK"/>
          <w:sz w:val="44"/>
          <w:szCs w:val="44"/>
        </w:rPr>
        <w:t>年部门预算公开报表</w:t>
      </w:r>
    </w:p>
    <w:p w14:paraId="2AF015D0">
      <w:pPr>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eastAsia="方正黑体_GBK"/>
          <w:sz w:val="32"/>
        </w:rPr>
      </w:pPr>
    </w:p>
    <w:p w14:paraId="48DF9625">
      <w:pPr>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eastAsia="方正黑体_GBK"/>
          <w:sz w:val="32"/>
        </w:rPr>
      </w:pPr>
      <w:r>
        <w:rPr>
          <w:rFonts w:hint="eastAsia" w:eastAsia="方正仿宋_GBK"/>
          <w:sz w:val="32"/>
          <w:szCs w:val="32"/>
        </w:rPr>
        <w:t>2026</w:t>
      </w:r>
      <w:r>
        <w:rPr>
          <w:rFonts w:hint="eastAsia" w:eastAsia="方正黑体_GBK"/>
          <w:sz w:val="32"/>
        </w:rPr>
        <w:t>年部门预算公开报表（详见附表开州区精神卫生中心</w:t>
      </w:r>
      <w:r>
        <w:rPr>
          <w:rFonts w:eastAsia="方正仿宋_GBK"/>
          <w:sz w:val="32"/>
          <w:szCs w:val="32"/>
        </w:rPr>
        <w:t>202</w:t>
      </w:r>
      <w:r>
        <w:rPr>
          <w:rFonts w:hint="eastAsia" w:eastAsia="方正仿宋_GBK"/>
          <w:sz w:val="32"/>
          <w:szCs w:val="32"/>
        </w:rPr>
        <w:t>6</w:t>
      </w:r>
      <w:r>
        <w:rPr>
          <w:rFonts w:eastAsia="方正黑体_GBK"/>
          <w:sz w:val="32"/>
        </w:rPr>
        <w:t>年部门预算公开报表</w:t>
      </w:r>
      <w:r>
        <w:rPr>
          <w:rFonts w:hint="eastAsia" w:eastAsia="方正黑体_GBK"/>
          <w:sz w:val="32"/>
        </w:rPr>
        <w:t>）</w:t>
      </w:r>
    </w:p>
    <w:p w14:paraId="05B41CFE">
      <w:pPr>
        <w:keepNext w:val="0"/>
        <w:keepLines w:val="0"/>
        <w:pageBreakBefore w:val="0"/>
        <w:widowControl w:val="0"/>
        <w:kinsoku/>
        <w:wordWrap/>
        <w:overflowPunct/>
        <w:topLinePunct w:val="0"/>
        <w:autoSpaceDN/>
        <w:bidi w:val="0"/>
        <w:adjustRightInd/>
        <w:spacing w:line="560" w:lineRule="exact"/>
        <w:textAlignment w:val="auto"/>
        <w:rPr>
          <w:rFonts w:eastAsia="方正仿宋_GBK"/>
          <w:sz w:val="32"/>
          <w:szCs w:val="32"/>
        </w:rPr>
      </w:pPr>
      <w:r>
        <w:rPr>
          <w:rFonts w:eastAsia="方正仿宋_GBK"/>
          <w:b/>
          <w:sz w:val="32"/>
        </w:rPr>
        <w:t>部门预算公开联系人：</w:t>
      </w:r>
      <w:r>
        <w:rPr>
          <w:rFonts w:hint="eastAsia" w:eastAsia="方正仿宋_GBK"/>
          <w:b/>
          <w:sz w:val="32"/>
        </w:rPr>
        <w:t>赵淑涛</w:t>
      </w:r>
      <w:r>
        <w:rPr>
          <w:rFonts w:eastAsia="方正仿宋_GBK"/>
          <w:b/>
          <w:sz w:val="32"/>
        </w:rPr>
        <w:t xml:space="preserve">  联系方式：</w:t>
      </w:r>
      <w:r>
        <w:rPr>
          <w:rFonts w:eastAsia="方正仿宋_GBK"/>
          <w:sz w:val="32"/>
          <w:szCs w:val="32"/>
        </w:rPr>
        <w:t>023-</w:t>
      </w:r>
      <w:r>
        <w:rPr>
          <w:rFonts w:hint="eastAsia" w:eastAsia="方正仿宋_GBK"/>
          <w:sz w:val="32"/>
          <w:szCs w:val="32"/>
        </w:rPr>
        <w:t>52661088</w:t>
      </w:r>
    </w:p>
    <w:p w14:paraId="4D432AC8">
      <w:pPr>
        <w:keepNext w:val="0"/>
        <w:keepLines w:val="0"/>
        <w:pageBreakBefore w:val="0"/>
        <w:widowControl w:val="0"/>
        <w:kinsoku/>
        <w:wordWrap/>
        <w:overflowPunct/>
        <w:topLinePunct w:val="0"/>
        <w:autoSpaceDN/>
        <w:bidi w:val="0"/>
        <w:adjustRightInd/>
        <w:spacing w:line="560" w:lineRule="exact"/>
        <w:jc w:val="center"/>
        <w:textAlignment w:val="auto"/>
        <w:rPr>
          <w:rFonts w:eastAsia="方正小标宋_GBK"/>
          <w:sz w:val="44"/>
          <w:szCs w:val="44"/>
        </w:rPr>
      </w:pPr>
    </w:p>
    <w:p w14:paraId="670F8CC9">
      <w:pPr>
        <w:keepNext w:val="0"/>
        <w:keepLines w:val="0"/>
        <w:pageBreakBefore w:val="0"/>
        <w:widowControl w:val="0"/>
        <w:kinsoku/>
        <w:wordWrap/>
        <w:overflowPunct/>
        <w:topLinePunct w:val="0"/>
        <w:autoSpaceDN/>
        <w:bidi w:val="0"/>
        <w:adjustRightInd/>
        <w:spacing w:line="560" w:lineRule="exact"/>
        <w:jc w:val="center"/>
        <w:textAlignment w:val="auto"/>
        <w:rPr>
          <w:rFonts w:eastAsia="方正小标宋_GBK"/>
          <w:sz w:val="44"/>
          <w:szCs w:val="44"/>
        </w:rPr>
      </w:pPr>
    </w:p>
    <w:p w14:paraId="4427D751">
      <w:pPr>
        <w:keepNext w:val="0"/>
        <w:keepLines w:val="0"/>
        <w:pageBreakBefore w:val="0"/>
        <w:widowControl w:val="0"/>
        <w:kinsoku/>
        <w:wordWrap/>
        <w:overflowPunct/>
        <w:topLinePunct w:val="0"/>
        <w:autoSpaceDN/>
        <w:bidi w:val="0"/>
        <w:adjustRightInd/>
        <w:spacing w:line="560" w:lineRule="exact"/>
        <w:jc w:val="center"/>
        <w:textAlignment w:val="auto"/>
        <w:rPr>
          <w:rFonts w:eastAsia="方正小标宋_GBK"/>
          <w:sz w:val="32"/>
          <w:szCs w:val="32"/>
        </w:rPr>
      </w:pPr>
      <w:r>
        <w:rPr>
          <w:rFonts w:hint="eastAsia" w:eastAsia="方正小标宋_GBK"/>
          <w:sz w:val="32"/>
          <w:szCs w:val="32"/>
        </w:rPr>
        <w:t xml:space="preserve">         </w:t>
      </w:r>
      <w:r>
        <w:rPr>
          <w:rFonts w:hint="eastAsia" w:ascii="方正仿宋_GBK" w:hAnsi="方正仿宋_GBK" w:eastAsia="方正仿宋_GBK" w:cs="方正仿宋_GBK"/>
          <w:sz w:val="32"/>
          <w:szCs w:val="32"/>
        </w:rPr>
        <w:t>重庆市开州区精神卫生中心</w:t>
      </w:r>
    </w:p>
    <w:p w14:paraId="2639D4DA">
      <w:pPr>
        <w:pStyle w:val="8"/>
        <w:keepNext w:val="0"/>
        <w:keepLines w:val="0"/>
        <w:pageBreakBefore w:val="0"/>
        <w:widowControl w:val="0"/>
        <w:kinsoku/>
        <w:wordWrap/>
        <w:overflowPunct/>
        <w:topLinePunct w:val="0"/>
        <w:autoSpaceDN/>
        <w:bidi w:val="0"/>
        <w:adjustRightInd/>
        <w:spacing w:line="560" w:lineRule="exact"/>
        <w:textAlignment w:val="auto"/>
      </w:pPr>
      <w:r>
        <w:rPr>
          <w:rFonts w:hint="eastAsia"/>
          <w:sz w:val="32"/>
        </w:rPr>
        <w:t xml:space="preserve"> </w:t>
      </w:r>
      <w:r>
        <w:rPr>
          <w:rFonts w:hint="eastAsia" w:eastAsia="方正仿宋_GBK"/>
          <w:sz w:val="32"/>
          <w:szCs w:val="24"/>
        </w:rPr>
        <w:t xml:space="preserve"> </w:t>
      </w:r>
      <w:r>
        <w:rPr>
          <w:rFonts w:hint="eastAsia" w:eastAsia="方正仿宋_GBK"/>
          <w:sz w:val="32"/>
          <w:szCs w:val="24"/>
          <w:lang w:val="en-US" w:eastAsia="zh-CN"/>
        </w:rPr>
        <w:t xml:space="preserve">                    </w:t>
      </w:r>
      <w:r>
        <w:rPr>
          <w:rFonts w:hint="eastAsia" w:eastAsia="方正仿宋_GBK"/>
          <w:sz w:val="32"/>
          <w:szCs w:val="24"/>
        </w:rPr>
        <w:t xml:space="preserve">  </w:t>
      </w:r>
      <w:r>
        <w:rPr>
          <w:rFonts w:hint="eastAsia" w:eastAsia="方正仿宋_GBK"/>
          <w:sz w:val="32"/>
        </w:rPr>
        <w:t>202</w:t>
      </w:r>
      <w:r>
        <w:rPr>
          <w:rFonts w:hint="eastAsia" w:eastAsia="方正仿宋_GBK"/>
          <w:sz w:val="32"/>
          <w:lang w:eastAsia="zh-CN"/>
        </w:rPr>
        <w:t>6</w:t>
      </w:r>
      <w:r>
        <w:rPr>
          <w:rFonts w:hint="eastAsia" w:eastAsia="方正仿宋_GBK"/>
          <w:sz w:val="32"/>
          <w:szCs w:val="24"/>
        </w:rPr>
        <w:t>年</w:t>
      </w:r>
      <w:r>
        <w:rPr>
          <w:rFonts w:hint="eastAsia" w:eastAsia="方正仿宋_GBK"/>
          <w:sz w:val="32"/>
        </w:rPr>
        <w:t>3</w:t>
      </w:r>
      <w:r>
        <w:rPr>
          <w:rFonts w:hint="eastAsia" w:eastAsia="方正仿宋_GBK"/>
          <w:sz w:val="32"/>
          <w:szCs w:val="24"/>
        </w:rPr>
        <w:t>月</w:t>
      </w:r>
      <w:r>
        <w:rPr>
          <w:rFonts w:hint="eastAsia" w:eastAsia="方正仿宋_GBK"/>
          <w:sz w:val="32"/>
          <w:szCs w:val="24"/>
          <w:lang w:val="en-US" w:eastAsia="zh-CN"/>
        </w:rPr>
        <w:t>12</w:t>
      </w:r>
      <w:r>
        <w:rPr>
          <w:rFonts w:hint="eastAsia" w:eastAsia="方正仿宋_GBK"/>
          <w:sz w:val="32"/>
          <w:szCs w:val="24"/>
        </w:rPr>
        <w:t>日</w:t>
      </w:r>
    </w:p>
    <w:p w14:paraId="2BDCBF5B">
      <w:pPr>
        <w:pStyle w:val="8"/>
        <w:keepNext w:val="0"/>
        <w:keepLines w:val="0"/>
        <w:pageBreakBefore w:val="0"/>
        <w:widowControl w:val="0"/>
        <w:kinsoku/>
        <w:wordWrap/>
        <w:overflowPunct/>
        <w:topLinePunct w:val="0"/>
        <w:autoSpaceDN/>
        <w:bidi w:val="0"/>
        <w:adjustRightInd/>
        <w:spacing w:line="560" w:lineRule="exact"/>
        <w:textAlignment w:val="auto"/>
      </w:pPr>
    </w:p>
    <w:p w14:paraId="59C36C1C">
      <w:pPr>
        <w:pStyle w:val="8"/>
        <w:keepNext w:val="0"/>
        <w:keepLines w:val="0"/>
        <w:pageBreakBefore w:val="0"/>
        <w:widowControl w:val="0"/>
        <w:kinsoku/>
        <w:wordWrap/>
        <w:overflowPunct/>
        <w:topLinePunct w:val="0"/>
        <w:autoSpaceDN/>
        <w:bidi w:val="0"/>
        <w:adjustRightInd/>
        <w:spacing w:line="560" w:lineRule="exact"/>
        <w:textAlignment w:val="auto"/>
      </w:pPr>
    </w:p>
    <w:p w14:paraId="09F8E1BA">
      <w:pPr>
        <w:pStyle w:val="8"/>
        <w:keepNext w:val="0"/>
        <w:keepLines w:val="0"/>
        <w:pageBreakBefore w:val="0"/>
        <w:widowControl w:val="0"/>
        <w:kinsoku/>
        <w:wordWrap/>
        <w:overflowPunct/>
        <w:topLinePunct w:val="0"/>
        <w:autoSpaceDN/>
        <w:bidi w:val="0"/>
        <w:adjustRightInd/>
        <w:spacing w:line="560" w:lineRule="exact"/>
        <w:textAlignment w:val="auto"/>
      </w:pPr>
    </w:p>
    <w:p w14:paraId="186BAE37">
      <w:pPr>
        <w:pStyle w:val="8"/>
        <w:keepNext w:val="0"/>
        <w:keepLines w:val="0"/>
        <w:pageBreakBefore w:val="0"/>
        <w:widowControl w:val="0"/>
        <w:kinsoku/>
        <w:wordWrap/>
        <w:overflowPunct/>
        <w:topLinePunct w:val="0"/>
        <w:autoSpaceDN/>
        <w:bidi w:val="0"/>
        <w:adjustRightInd/>
        <w:spacing w:line="560" w:lineRule="exact"/>
        <w:textAlignment w:val="auto"/>
      </w:pPr>
    </w:p>
    <w:p w14:paraId="1103BE2D">
      <w:pPr>
        <w:pStyle w:val="8"/>
        <w:keepNext w:val="0"/>
        <w:keepLines w:val="0"/>
        <w:pageBreakBefore w:val="0"/>
        <w:widowControl w:val="0"/>
        <w:kinsoku/>
        <w:wordWrap/>
        <w:overflowPunct/>
        <w:topLinePunct w:val="0"/>
        <w:autoSpaceDN/>
        <w:bidi w:val="0"/>
        <w:adjustRightInd/>
        <w:spacing w:line="560" w:lineRule="exact"/>
        <w:textAlignment w:val="auto"/>
      </w:pPr>
    </w:p>
    <w:p w14:paraId="4750696C">
      <w:pPr>
        <w:pStyle w:val="8"/>
        <w:keepNext w:val="0"/>
        <w:keepLines w:val="0"/>
        <w:pageBreakBefore w:val="0"/>
        <w:widowControl w:val="0"/>
        <w:kinsoku/>
        <w:wordWrap/>
        <w:overflowPunct/>
        <w:topLinePunct w:val="0"/>
        <w:autoSpaceDN/>
        <w:bidi w:val="0"/>
        <w:adjustRightInd/>
        <w:spacing w:line="560" w:lineRule="exact"/>
        <w:textAlignment w:val="auto"/>
      </w:pPr>
    </w:p>
    <w:p w14:paraId="52C7FC94">
      <w:pPr>
        <w:pStyle w:val="8"/>
        <w:keepNext w:val="0"/>
        <w:keepLines w:val="0"/>
        <w:pageBreakBefore w:val="0"/>
        <w:widowControl w:val="0"/>
        <w:kinsoku/>
        <w:wordWrap/>
        <w:overflowPunct/>
        <w:topLinePunct w:val="0"/>
        <w:autoSpaceDN/>
        <w:bidi w:val="0"/>
        <w:adjustRightInd/>
        <w:spacing w:line="560" w:lineRule="exact"/>
        <w:textAlignment w:val="auto"/>
      </w:pPr>
    </w:p>
    <w:p w14:paraId="4986125C">
      <w:pPr>
        <w:pStyle w:val="8"/>
        <w:keepNext w:val="0"/>
        <w:keepLines w:val="0"/>
        <w:pageBreakBefore w:val="0"/>
        <w:widowControl w:val="0"/>
        <w:kinsoku/>
        <w:wordWrap/>
        <w:overflowPunct/>
        <w:topLinePunct w:val="0"/>
        <w:autoSpaceDN/>
        <w:bidi w:val="0"/>
        <w:adjustRightInd/>
        <w:spacing w:line="560" w:lineRule="exact"/>
        <w:textAlignment w:val="auto"/>
      </w:pPr>
    </w:p>
    <w:p w14:paraId="3B1F2DEC">
      <w:pPr>
        <w:pStyle w:val="8"/>
      </w:pPr>
    </w:p>
    <w:p w14:paraId="0236979F">
      <w:pPr>
        <w:pStyle w:val="8"/>
      </w:pPr>
    </w:p>
    <w:p w14:paraId="1E7A85BC">
      <w:pPr>
        <w:pStyle w:val="8"/>
      </w:pPr>
    </w:p>
    <w:p w14:paraId="3EB04873">
      <w:pPr>
        <w:pStyle w:val="8"/>
      </w:pPr>
    </w:p>
    <w:p w14:paraId="1ACAAA3E">
      <w:pPr>
        <w:pStyle w:val="8"/>
      </w:pPr>
    </w:p>
    <w:p w14:paraId="67D7864E">
      <w:pPr>
        <w:pStyle w:val="8"/>
      </w:pPr>
    </w:p>
    <w:p w14:paraId="03585746">
      <w:pPr>
        <w:pStyle w:val="8"/>
      </w:pPr>
    </w:p>
    <w:p w14:paraId="2D7B4920">
      <w:pPr>
        <w:pStyle w:val="8"/>
      </w:pPr>
    </w:p>
    <w:p w14:paraId="477609E9">
      <w:pPr>
        <w:pStyle w:val="8"/>
      </w:pPr>
    </w:p>
    <w:p w14:paraId="035D934F">
      <w:pPr>
        <w:pStyle w:val="8"/>
      </w:pPr>
    </w:p>
    <w:tbl>
      <w:tblPr>
        <w:tblStyle w:val="10"/>
        <w:tblpPr w:leftFromText="180" w:rightFromText="180" w:vertAnchor="text" w:horzAnchor="page" w:tblpXSpec="center" w:tblpY="542"/>
        <w:tblW w:w="0" w:type="auto"/>
        <w:jc w:val="center"/>
        <w:tblBorders>
          <w:top w:val="single" w:color="auto" w:sz="4" w:space="0"/>
          <w:left w:val="none" w:color="auto" w:sz="0" w:space="0"/>
          <w:bottom w:val="single" w:color="auto" w:sz="4" w:space="0"/>
          <w:right w:val="none" w:color="auto" w:sz="0" w:space="0"/>
          <w:insideH w:val="single" w:color="auto" w:sz="6" w:space="0"/>
          <w:insideV w:val="none" w:color="auto" w:sz="0" w:space="0"/>
        </w:tblBorders>
        <w:tblLayout w:type="fixed"/>
        <w:tblCellMar>
          <w:top w:w="0" w:type="dxa"/>
          <w:left w:w="108" w:type="dxa"/>
          <w:bottom w:w="0" w:type="dxa"/>
          <w:right w:w="108" w:type="dxa"/>
        </w:tblCellMar>
      </w:tblPr>
      <w:tblGrid>
        <w:gridCol w:w="9000"/>
      </w:tblGrid>
      <w:tr w14:paraId="3E847951">
        <w:tblPrEx>
          <w:tblBorders>
            <w:top w:val="single" w:color="auto" w:sz="4" w:space="0"/>
            <w:left w:val="none" w:color="auto" w:sz="0" w:space="0"/>
            <w:bottom w:val="single" w:color="auto" w:sz="4" w:space="0"/>
            <w:right w:val="none" w:color="auto" w:sz="0" w:space="0"/>
            <w:insideH w:val="single" w:color="auto" w:sz="6" w:space="0"/>
            <w:insideV w:val="none" w:color="auto" w:sz="0" w:space="0"/>
          </w:tblBorders>
          <w:tblCellMar>
            <w:top w:w="0" w:type="dxa"/>
            <w:left w:w="108" w:type="dxa"/>
            <w:bottom w:w="0" w:type="dxa"/>
            <w:right w:w="108" w:type="dxa"/>
          </w:tblCellMar>
        </w:tblPrEx>
        <w:trPr>
          <w:cantSplit/>
          <w:trHeight w:val="470" w:hRule="exact"/>
          <w:jc w:val="center"/>
        </w:trPr>
        <w:tc>
          <w:tcPr>
            <w:tcW w:w="9000" w:type="dxa"/>
            <w:noWrap w:val="0"/>
            <w:vAlign w:val="center"/>
          </w:tcPr>
          <w:p w14:paraId="52E8B8BF">
            <w:pPr>
              <w:tabs>
                <w:tab w:val="right" w:pos="8539"/>
              </w:tabs>
              <w:spacing w:line="420" w:lineRule="exact"/>
              <w:ind w:left="105" w:leftChars="50" w:right="105" w:rightChars="50"/>
              <w:jc w:val="distribute"/>
              <w:rPr>
                <w:rFonts w:ascii="Times New Roman" w:hAnsi="Times New Roman" w:eastAsia="方正仿宋_GBK"/>
                <w:sz w:val="28"/>
                <w:szCs w:val="28"/>
              </w:rPr>
            </w:pPr>
            <w:r>
              <w:rPr>
                <w:rFonts w:ascii="Times New Roman" w:hAnsi="Times New Roman" w:eastAsia="方正仿宋_GBK"/>
                <w:sz w:val="28"/>
                <w:szCs w:val="28"/>
              </w:rPr>
              <w:t>重庆市开州区精神卫生中心办公室           202</w:t>
            </w:r>
            <w:r>
              <w:rPr>
                <w:rFonts w:hint="eastAsia" w:eastAsia="方正仿宋_GBK"/>
                <w:sz w:val="28"/>
                <w:szCs w:val="28"/>
                <w:lang w:val="en-US" w:eastAsia="zh-CN"/>
              </w:rPr>
              <w:t>6</w:t>
            </w:r>
            <w:r>
              <w:rPr>
                <w:rFonts w:ascii="Times New Roman" w:hAnsi="Times New Roman" w:eastAsia="方正仿宋_GBK"/>
                <w:sz w:val="28"/>
                <w:szCs w:val="28"/>
              </w:rPr>
              <w:t>年3月</w:t>
            </w:r>
            <w:r>
              <w:rPr>
                <w:rFonts w:hint="eastAsia" w:eastAsia="方正仿宋_GBK"/>
                <w:sz w:val="28"/>
                <w:szCs w:val="28"/>
                <w:lang w:val="en-US" w:eastAsia="zh-CN"/>
              </w:rPr>
              <w:t>12</w:t>
            </w:r>
            <w:bookmarkStart w:id="0" w:name="_GoBack"/>
            <w:bookmarkEnd w:id="0"/>
            <w:r>
              <w:rPr>
                <w:rFonts w:ascii="Times New Roman" w:hAnsi="Times New Roman" w:eastAsia="方正仿宋_GBK"/>
                <w:sz w:val="28"/>
                <w:szCs w:val="28"/>
              </w:rPr>
              <w:t>日印发</w:t>
            </w:r>
          </w:p>
        </w:tc>
      </w:tr>
    </w:tbl>
    <w:p w14:paraId="4DB376ED">
      <w:pPr>
        <w:pStyle w:val="8"/>
      </w:pPr>
    </w:p>
    <w:sectPr>
      <w:footerReference r:id="rId5" w:type="default"/>
      <w:pgSz w:w="11906" w:h="16838"/>
      <w:pgMar w:top="2098" w:right="1531" w:bottom="1984" w:left="1531"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C4B91">
    <w:pPr>
      <w:pStyle w:val="8"/>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E00BEF3">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dmMTRhZjM0ZDZlZTI2YTUzZjlhZmE5ODhkMGMzNzcifQ=="/>
    <w:docVar w:name="KSO_WPS_MARK_KEY" w:val="c5f4575d-5ce7-43cb-9484-5abb3ecee745"/>
  </w:docVars>
  <w:rsids>
    <w:rsidRoot w:val="00527521"/>
    <w:rsid w:val="000C1911"/>
    <w:rsid w:val="000C7610"/>
    <w:rsid w:val="001D42FF"/>
    <w:rsid w:val="002208CF"/>
    <w:rsid w:val="00283CD5"/>
    <w:rsid w:val="00301DD9"/>
    <w:rsid w:val="004A4C66"/>
    <w:rsid w:val="004A79A8"/>
    <w:rsid w:val="00527521"/>
    <w:rsid w:val="00563798"/>
    <w:rsid w:val="005654BD"/>
    <w:rsid w:val="006069B2"/>
    <w:rsid w:val="00637DCA"/>
    <w:rsid w:val="00682356"/>
    <w:rsid w:val="006E20A2"/>
    <w:rsid w:val="00796AFD"/>
    <w:rsid w:val="007E4906"/>
    <w:rsid w:val="007E7580"/>
    <w:rsid w:val="008C09AF"/>
    <w:rsid w:val="009C4E40"/>
    <w:rsid w:val="00A52683"/>
    <w:rsid w:val="00AA25AD"/>
    <w:rsid w:val="00BB2C81"/>
    <w:rsid w:val="00CF1240"/>
    <w:rsid w:val="00D47758"/>
    <w:rsid w:val="00FB4C77"/>
    <w:rsid w:val="13B4491D"/>
    <w:rsid w:val="14105C10"/>
    <w:rsid w:val="14D96F3A"/>
    <w:rsid w:val="28292E99"/>
    <w:rsid w:val="2AAE4D1A"/>
    <w:rsid w:val="2ECF58FA"/>
    <w:rsid w:val="32124500"/>
    <w:rsid w:val="342933A8"/>
    <w:rsid w:val="351F285B"/>
    <w:rsid w:val="37D17FC1"/>
    <w:rsid w:val="38644826"/>
    <w:rsid w:val="3ABA66AB"/>
    <w:rsid w:val="3D3C5E3C"/>
    <w:rsid w:val="47D46096"/>
    <w:rsid w:val="486D5848"/>
    <w:rsid w:val="4D741A1F"/>
    <w:rsid w:val="508952E7"/>
    <w:rsid w:val="5A235F34"/>
    <w:rsid w:val="5C783CE7"/>
    <w:rsid w:val="67222E29"/>
    <w:rsid w:val="68AA341F"/>
    <w:rsid w:val="6E064D15"/>
    <w:rsid w:val="6F895618"/>
    <w:rsid w:val="78302FCE"/>
    <w:rsid w:val="7B285162"/>
    <w:rsid w:val="7C6D5C52"/>
    <w:rsid w:val="7FA74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table of figures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4"/>
    <w:qFormat/>
    <w:uiPriority w:val="0"/>
    <w:pPr>
      <w:widowControl w:val="0"/>
      <w:jc w:val="both"/>
    </w:pPr>
    <w:rPr>
      <w:rFonts w:ascii="Times New Roman" w:hAnsi="Times New Roman" w:eastAsia="宋体" w:cs="黑体"/>
      <w:kern w:val="2"/>
      <w:sz w:val="21"/>
      <w:szCs w:val="24"/>
      <w:lang w:val="en-US" w:eastAsia="zh-CN" w:bidi="ar-SA"/>
    </w:rPr>
  </w:style>
  <w:style w:type="paragraph" w:customStyle="1" w:styleId="4">
    <w:name w:val="图表目录1"/>
    <w:basedOn w:val="3"/>
    <w:next w:val="3"/>
    <w:qFormat/>
    <w:uiPriority w:val="0"/>
    <w:pPr>
      <w:ind w:left="200" w:leftChars="200" w:hanging="200" w:hangingChars="200"/>
    </w:pPr>
  </w:style>
  <w:style w:type="paragraph" w:styleId="5">
    <w:name w:val="Body Text"/>
    <w:basedOn w:val="1"/>
    <w:next w:val="6"/>
    <w:qFormat/>
    <w:uiPriority w:val="0"/>
    <w:pPr>
      <w:spacing w:after="120"/>
    </w:pPr>
    <w:rPr>
      <w:rFonts w:ascii="Times New Roman" w:hAnsi="Times New Roman" w:cs="Times New Roman"/>
    </w:rPr>
  </w:style>
  <w:style w:type="paragraph" w:styleId="6">
    <w:name w:val="toc 5"/>
    <w:basedOn w:val="1"/>
    <w:next w:val="1"/>
    <w:qFormat/>
    <w:uiPriority w:val="39"/>
    <w:pPr>
      <w:spacing w:line="600" w:lineRule="exact"/>
      <w:ind w:firstLine="200" w:firstLineChars="200"/>
      <w:jc w:val="left"/>
    </w:pPr>
    <w:rPr>
      <w:rFonts w:ascii="方正黑体_GBK" w:eastAsia="方正黑体_GBK"/>
      <w:sz w:val="32"/>
      <w:szCs w:val="32"/>
    </w:rPr>
  </w:style>
  <w:style w:type="paragraph" w:styleId="7">
    <w:name w:val="Body Text Indent"/>
    <w:basedOn w:val="1"/>
    <w:qFormat/>
    <w:uiPriority w:val="0"/>
    <w:pPr>
      <w:spacing w:after="120"/>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wimxt.com</Company>
  <Pages>8</Pages>
  <Words>2425</Words>
  <Characters>2652</Characters>
  <Lines>1</Lines>
  <Paragraphs>1</Paragraphs>
  <TotalTime>7</TotalTime>
  <ScaleCrop>false</ScaleCrop>
  <LinksUpToDate>false</LinksUpToDate>
  <CharactersWithSpaces>2699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2023-01-04T03:42:00Z</dcterms:created>
  <dc:creator>谭  毅</dc:creator>
  <cp:lastModifiedBy>冲鸭  </cp:lastModifiedBy>
  <cp:lastPrinted>2023-07-21T02:05:00Z</cp:lastPrinted>
  <dcterms:modified xsi:type="dcterms:W3CDTF">2026-03-12T03:38:06Z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D1A89B469FC94263B4EA5EE4EF6060F2</vt:lpwstr>
  </property>
  <property fmtid="{D5CDD505-2E9C-101B-9397-08002B2CF9AE}" pid="4" name="KSOTemplateDocerSaveRecord">
    <vt:lpwstr>eyJoZGlkIjoiYjkwNzIwZDAwMjE5ZjBhYTkzMTAyMmIzZGVhYmY2MmIiLCJ1c2VySWQiOiIxMDAxNDE3ODUzIn0=</vt:lpwstr>
  </property>
</Properties>
</file>