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584"/>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olor w:val="000000"/>
          <w:kern w:val="0"/>
          <w:sz w:val="32"/>
          <w:szCs w:val="32"/>
        </w:rPr>
      </w:pPr>
    </w:p>
    <w:p>
      <w:pPr>
        <w:keepNext w:val="0"/>
        <w:keepLines w:val="0"/>
        <w:pageBreakBefore w:val="0"/>
        <w:widowControl/>
        <w:tabs>
          <w:tab w:val="left" w:pos="7584"/>
        </w:tabs>
        <w:kinsoku/>
        <w:wordWrap/>
        <w:overflowPunct/>
        <w:topLinePunct w:val="0"/>
        <w:autoSpaceDE/>
        <w:autoSpaceDN/>
        <w:bidi w:val="0"/>
        <w:adjustRightInd/>
        <w:snapToGrid/>
        <w:spacing w:line="600" w:lineRule="exact"/>
        <w:jc w:val="center"/>
        <w:textAlignment w:val="auto"/>
        <w:rPr>
          <w:rFonts w:ascii="Times New Roman" w:hAnsi="Times New Roman" w:eastAsia="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kern w:val="0"/>
          <w:sz w:val="44"/>
        </w:rPr>
      </w:pPr>
      <w:r>
        <w:rPr>
          <w:rFonts w:hint="eastAsia" w:ascii="方正小标宋_GBK" w:hAnsi="宋体" w:eastAsia="方正小标宋_GBK" w:cs="宋体"/>
          <w:kern w:val="0"/>
          <w:sz w:val="44"/>
          <w:szCs w:val="40"/>
        </w:rPr>
        <w:t>重庆市开州区人民政府</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kern w:val="0"/>
          <w:sz w:val="24"/>
        </w:rPr>
      </w:pPr>
      <w:r>
        <w:rPr>
          <w:rFonts w:hint="eastAsia" w:ascii="方正小标宋_GBK" w:hAnsi="宋体" w:eastAsia="方正小标宋_GBK" w:cs="宋体"/>
          <w:kern w:val="0"/>
          <w:sz w:val="44"/>
          <w:szCs w:val="40"/>
        </w:rPr>
        <w:t>关于取消和调整部分区级行政审批事项的决定</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开州府发〔</w:t>
      </w:r>
      <w:r>
        <w:rPr>
          <w:rFonts w:hint="default" w:ascii="Times New Roman" w:hAnsi="Times New Roman" w:eastAsia="方正仿宋_GBK" w:cs="Times New Roman"/>
          <w:color w:val="000000"/>
          <w:kern w:val="0"/>
          <w:sz w:val="32"/>
          <w:szCs w:val="32"/>
        </w:rPr>
        <w:t>2017</w:t>
      </w:r>
      <w:r>
        <w:rPr>
          <w:rFonts w:ascii="Times New Roman" w:hAnsi="Times New Roman" w:eastAsia="方正仿宋_GBK"/>
          <w:color w:val="000000"/>
          <w:kern w:val="0"/>
          <w:sz w:val="32"/>
          <w:szCs w:val="32"/>
        </w:rPr>
        <w:t>〕</w:t>
      </w:r>
      <w:r>
        <w:rPr>
          <w:rFonts w:hint="default" w:ascii="Times New Roman" w:hAnsi="Times New Roman" w:eastAsia="方正仿宋_GBK" w:cs="Times New Roman"/>
          <w:color w:val="000000"/>
          <w:kern w:val="0"/>
          <w:sz w:val="32"/>
          <w:szCs w:val="32"/>
        </w:rPr>
        <w:t>17</w:t>
      </w:r>
      <w:r>
        <w:rPr>
          <w:rFonts w:ascii="Times New Roman" w:hAnsi="Times New Roman" w:eastAsia="方正仿宋_GBK"/>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hanging="720"/>
        <w:jc w:val="center"/>
        <w:textAlignment w:val="auto"/>
        <w:rPr>
          <w:rFonts w:hint="eastAsia" w:ascii="宋体" w:hAnsi="宋体" w:cs="宋体"/>
          <w:kern w:val="0"/>
          <w:sz w:val="2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各镇乡人民政府（街道办事处），区政府各部门，有关单位：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为贯彻落实《国务院关于修改和废止部分行政法规的决定》（国务院令第</w:t>
      </w:r>
      <w:r>
        <w:rPr>
          <w:rFonts w:hint="default" w:ascii="Times New Roman" w:hAnsi="Times New Roman" w:eastAsia="方正仿宋_GBK" w:cs="Times New Roman"/>
          <w:kern w:val="0"/>
          <w:sz w:val="32"/>
          <w:szCs w:val="32"/>
        </w:rPr>
        <w:t>676</w:t>
      </w:r>
      <w:r>
        <w:rPr>
          <w:rFonts w:hint="eastAsia" w:ascii="方正仿宋_GBK" w:hAnsi="宋体" w:eastAsia="方正仿宋_GBK" w:cs="宋体"/>
          <w:kern w:val="0"/>
          <w:sz w:val="32"/>
          <w:szCs w:val="32"/>
        </w:rPr>
        <w:t>号）和《重庆市人民政府关于取消和调整部分市级行政审批事项的决定》（渝府发〔</w:t>
      </w:r>
      <w:r>
        <w:rPr>
          <w:rFonts w:hint="default" w:ascii="Times New Roman" w:hAnsi="Times New Roman" w:eastAsia="方正仿宋_GBK" w:cs="Times New Roman"/>
          <w:kern w:val="0"/>
          <w:sz w:val="32"/>
          <w:szCs w:val="32"/>
        </w:rPr>
        <w:t>2017</w:t>
      </w:r>
      <w:r>
        <w:rPr>
          <w:rFonts w:hint="eastAsia" w:ascii="方正仿宋_GBK" w:hAnsi="宋体" w:eastAsia="方正仿宋_GBK" w:cs="宋体"/>
          <w:kern w:val="0"/>
          <w:sz w:val="32"/>
          <w:szCs w:val="32"/>
        </w:rPr>
        <w:t>〕</w:t>
      </w:r>
      <w:r>
        <w:rPr>
          <w:rFonts w:hint="default" w:ascii="Times New Roman" w:hAnsi="Times New Roman" w:eastAsia="方正仿宋_GBK" w:cs="Times New Roman"/>
          <w:kern w:val="0"/>
          <w:sz w:val="32"/>
          <w:szCs w:val="32"/>
        </w:rPr>
        <w:t>21</w:t>
      </w:r>
      <w:r>
        <w:rPr>
          <w:rFonts w:hint="eastAsia" w:ascii="方正仿宋_GBK" w:hAnsi="宋体" w:eastAsia="方正仿宋_GBK" w:cs="宋体"/>
          <w:kern w:val="0"/>
          <w:sz w:val="32"/>
          <w:szCs w:val="32"/>
        </w:rPr>
        <w:t>号）精神，进一步转变政府职能，推进简政放权，区政府决定对应取消</w:t>
      </w:r>
      <w:r>
        <w:rPr>
          <w:rFonts w:hint="default" w:ascii="Times New Roman" w:hAnsi="Times New Roman" w:eastAsia="方正仿宋_GBK" w:cs="Times New Roman"/>
          <w:kern w:val="0"/>
          <w:sz w:val="32"/>
          <w:szCs w:val="32"/>
        </w:rPr>
        <w:t>2</w:t>
      </w:r>
      <w:r>
        <w:rPr>
          <w:rFonts w:hint="eastAsia" w:ascii="方正仿宋_GBK" w:hAnsi="宋体" w:eastAsia="方正仿宋_GBK" w:cs="宋体"/>
          <w:kern w:val="0"/>
          <w:sz w:val="32"/>
          <w:szCs w:val="32"/>
        </w:rPr>
        <w:t>项和调整</w:t>
      </w:r>
      <w:r>
        <w:rPr>
          <w:rFonts w:hint="default" w:ascii="Times New Roman" w:hAnsi="Times New Roman" w:eastAsia="方正仿宋_GBK" w:cs="Times New Roman"/>
          <w:kern w:val="0"/>
          <w:sz w:val="32"/>
          <w:szCs w:val="32"/>
        </w:rPr>
        <w:t>2</w:t>
      </w:r>
      <w:r>
        <w:rPr>
          <w:rFonts w:hint="eastAsia" w:ascii="方正仿宋_GBK" w:hAnsi="宋体" w:eastAsia="方正仿宋_GBK" w:cs="宋体"/>
          <w:kern w:val="0"/>
          <w:sz w:val="32"/>
          <w:szCs w:val="32"/>
        </w:rPr>
        <w:t>项区级行政审批事项。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各镇乡人民政府（街道办事处）、区政府各部门和有关单位要认真做好取消和调整事项的衔接与落实工作。对取消的行政审批事项，不得通过拆分、合并等方式以新的名义或条目替代审批；不得以事前备案等任何形式变相审批；不得违法转交下属事业单位、社会组织继续审批。要加强行政审批信息公开，及时更新公布调整后的区级行政审批项目基本信息，相应调整网上审批项目，动态调整区级权力清单、责任清单。要切实加强后续监管和服务，按照市政府要求明确监管责任，完善监管措施，健全协调机制，加强事中事后监管。</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32"/>
        <w:jc w:val="lef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附件：</w:t>
      </w:r>
      <w:r>
        <w:rPr>
          <w:rFonts w:hint="default" w:ascii="Times New Roman" w:hAnsi="Times New Roman" w:eastAsia="方正仿宋_GBK" w:cs="Times New Roman"/>
          <w:kern w:val="0"/>
          <w:sz w:val="32"/>
          <w:szCs w:val="32"/>
        </w:rPr>
        <w:t>1</w:t>
      </w:r>
      <w:r>
        <w:rPr>
          <w:rFonts w:hint="eastAsia" w:ascii="方正仿宋_GBK" w:hAnsi="宋体" w:eastAsia="方正仿宋_GBK" w:cs="宋体"/>
          <w:kern w:val="0"/>
          <w:sz w:val="32"/>
          <w:szCs w:val="32"/>
        </w:rPr>
        <w:t>．依法取消区级行政审批项目目录</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     </w:t>
      </w:r>
      <w:r>
        <w:rPr>
          <w:rFonts w:hint="default" w:ascii="Times New Roman" w:hAnsi="Times New Roman" w:eastAsia="方正仿宋_GBK" w:cs="Times New Roman"/>
          <w:kern w:val="0"/>
          <w:sz w:val="32"/>
          <w:szCs w:val="32"/>
        </w:rPr>
        <w:t>2</w:t>
      </w:r>
      <w:r>
        <w:rPr>
          <w:rFonts w:hint="eastAsia" w:ascii="方正仿宋_GBK" w:hAnsi="宋体" w:eastAsia="方正仿宋_GBK" w:cs="宋体"/>
          <w:kern w:val="0"/>
          <w:sz w:val="32"/>
          <w:szCs w:val="32"/>
        </w:rPr>
        <w:t>．依法调整区级行政审批项目目录</w:t>
      </w:r>
    </w:p>
    <w:p>
      <w:pPr>
        <w:keepNext w:val="0"/>
        <w:keepLines w:val="0"/>
        <w:pageBreakBefore w:val="0"/>
        <w:widowControl w:val="0"/>
        <w:tabs>
          <w:tab w:val="left" w:pos="632"/>
        </w:tabs>
        <w:kinsoku/>
        <w:wordWrap/>
        <w:overflowPunct/>
        <w:topLinePunct w:val="0"/>
        <w:autoSpaceDE/>
        <w:autoSpaceDN/>
        <w:bidi w:val="0"/>
        <w:adjustRightInd/>
        <w:snapToGrid/>
        <w:spacing w:line="600" w:lineRule="exact"/>
        <w:ind w:firstLine="480"/>
        <w:jc w:val="left"/>
        <w:textAlignment w:val="auto"/>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重庆市开州区人民政府</w:t>
      </w:r>
    </w:p>
    <w:p>
      <w:pPr>
        <w:keepNext w:val="0"/>
        <w:keepLines w:val="0"/>
        <w:pageBreakBefore w:val="0"/>
        <w:widowControl w:val="0"/>
        <w:kinsoku/>
        <w:wordWrap/>
        <w:overflowPunct/>
        <w:topLinePunct w:val="0"/>
        <w:autoSpaceDE/>
        <w:autoSpaceDN/>
        <w:bidi w:val="0"/>
        <w:adjustRightInd/>
        <w:snapToGrid/>
        <w:spacing w:line="600" w:lineRule="exact"/>
        <w:ind w:firstLine="5280" w:firstLineChars="1650"/>
        <w:jc w:val="left"/>
        <w:textAlignment w:val="auto"/>
        <w:rPr>
          <w:rFonts w:hint="eastAsia" w:ascii="方正仿宋_GBK" w:hAnsi="宋体" w:eastAsia="方正仿宋_GBK" w:cs="宋体"/>
          <w:kern w:val="0"/>
          <w:sz w:val="32"/>
          <w:szCs w:val="32"/>
        </w:rPr>
      </w:pPr>
      <w:r>
        <w:rPr>
          <w:rFonts w:hint="default" w:ascii="Times New Roman" w:hAnsi="Times New Roman" w:eastAsia="方正仿宋_GBK" w:cs="Times New Roman"/>
          <w:kern w:val="0"/>
          <w:sz w:val="32"/>
          <w:szCs w:val="32"/>
        </w:rPr>
        <w:t>2017</w:t>
      </w:r>
      <w:r>
        <w:rPr>
          <w:rFonts w:hint="eastAsia" w:ascii="方正仿宋_GBK" w:hAnsi="宋体" w:eastAsia="方正仿宋_GBK" w:cs="宋体"/>
          <w:kern w:val="0"/>
          <w:sz w:val="32"/>
          <w:szCs w:val="32"/>
        </w:rPr>
        <w:t>年</w:t>
      </w:r>
      <w:r>
        <w:rPr>
          <w:rFonts w:hint="default" w:ascii="Times New Roman" w:hAnsi="Times New Roman" w:eastAsia="方正仿宋_GBK" w:cs="Times New Roman"/>
          <w:kern w:val="0"/>
          <w:sz w:val="32"/>
          <w:szCs w:val="32"/>
        </w:rPr>
        <w:t>7</w:t>
      </w:r>
      <w:r>
        <w:rPr>
          <w:rFonts w:hint="eastAsia" w:ascii="方正仿宋_GBK" w:hAnsi="宋体" w:eastAsia="方正仿宋_GBK" w:cs="宋体"/>
          <w:kern w:val="0"/>
          <w:sz w:val="32"/>
          <w:szCs w:val="32"/>
        </w:rPr>
        <w:t>月</w:t>
      </w:r>
      <w:r>
        <w:rPr>
          <w:rFonts w:hint="default" w:ascii="Times New Roman" w:hAnsi="Times New Roman" w:eastAsia="方正仿宋_GBK" w:cs="Times New Roman"/>
          <w:kern w:val="0"/>
          <w:sz w:val="32"/>
          <w:szCs w:val="32"/>
        </w:rPr>
        <w:t>24</w:t>
      </w:r>
      <w:r>
        <w:rPr>
          <w:rFonts w:hint="eastAsia" w:ascii="方正仿宋_GBK" w:hAnsi="宋体"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540"/>
        <w:jc w:val="left"/>
        <w:textAlignment w:val="auto"/>
        <w:rPr>
          <w:rFonts w:hint="eastAsia" w:ascii="方正仿宋_GBK" w:hAnsi="宋体" w:eastAsia="方正仿宋_GBK" w:cs="宋体"/>
          <w:kern w:val="0"/>
          <w:sz w:val="32"/>
          <w:szCs w:val="32"/>
        </w:rPr>
      </w:pPr>
      <w:r>
        <w:rPr>
          <w:rFonts w:hint="eastAsia" w:ascii="宋体" w:hAnsi="宋体" w:eastAsia="方正仿宋_GBK" w:cs="宋体"/>
          <w:kern w:val="0"/>
          <w:sz w:val="32"/>
          <w:szCs w:val="32"/>
        </w:rPr>
        <w:t> </w:t>
      </w:r>
    </w:p>
    <w:p>
      <w:pPr>
        <w:keepNext w:val="0"/>
        <w:keepLines w:val="0"/>
        <w:pageBreakBefore w:val="0"/>
        <w:widowControl/>
        <w:kinsoku/>
        <w:wordWrap/>
        <w:overflowPunct/>
        <w:topLinePunct w:val="0"/>
        <w:autoSpaceDE/>
        <w:autoSpaceDN/>
        <w:bidi w:val="0"/>
        <w:adjustRightInd/>
        <w:snapToGrid/>
        <w:spacing w:line="600" w:lineRule="exact"/>
        <w:ind w:right="640" w:firstLine="3840"/>
        <w:jc w:val="center"/>
        <w:textAlignment w:val="auto"/>
        <w:rPr>
          <w:rFonts w:hint="eastAsia" w:ascii="方正仿宋_GBK" w:hAnsi="宋体" w:eastAsia="方正仿宋_GBK"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640" w:firstLine="3840"/>
        <w:jc w:val="center"/>
        <w:textAlignment w:val="auto"/>
        <w:rPr>
          <w:rFonts w:hint="eastAsia" w:ascii="方正仿宋_GBK" w:hAnsi="宋体" w:eastAsia="方正仿宋_GBK"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黑体_GBK" w:hAnsi="宋体" w:eastAsia="方正黑体_GBK" w:cs="宋体"/>
          <w:kern w:val="0"/>
          <w:sz w:val="32"/>
          <w:szCs w:val="28"/>
        </w:rPr>
      </w:pPr>
    </w:p>
    <w:p>
      <w:pPr>
        <w:widowControl/>
        <w:spacing w:line="540" w:lineRule="atLeast"/>
        <w:jc w:val="left"/>
        <w:rPr>
          <w:rFonts w:hint="eastAsia" w:ascii="方正黑体_GBK" w:hAnsi="宋体" w:eastAsia="方正黑体_GBK" w:cs="宋体"/>
          <w:kern w:val="0"/>
          <w:sz w:val="32"/>
          <w:szCs w:val="28"/>
        </w:rPr>
      </w:pPr>
    </w:p>
    <w:p>
      <w:pPr>
        <w:widowControl/>
        <w:spacing w:line="540" w:lineRule="atLeast"/>
        <w:jc w:val="left"/>
        <w:rPr>
          <w:rFonts w:hint="eastAsia" w:ascii="方正黑体_GBK" w:hAnsi="宋体" w:eastAsia="方正黑体_GBK" w:cs="宋体"/>
          <w:kern w:val="0"/>
          <w:sz w:val="32"/>
          <w:szCs w:val="28"/>
        </w:rPr>
      </w:pPr>
    </w:p>
    <w:p>
      <w:pPr>
        <w:widowControl/>
        <w:spacing w:line="540" w:lineRule="atLeast"/>
        <w:jc w:val="left"/>
        <w:rPr>
          <w:rFonts w:hint="eastAsia" w:ascii="方正黑体_GBK" w:hAnsi="宋体" w:eastAsia="方正黑体_GBK" w:cs="宋体"/>
          <w:kern w:val="0"/>
          <w:sz w:val="32"/>
          <w:szCs w:val="28"/>
        </w:rPr>
      </w:pPr>
    </w:p>
    <w:p>
      <w:pPr>
        <w:rPr>
          <w:rFonts w:hint="eastAsia" w:ascii="方正黑体_GBK" w:hAnsi="宋体" w:eastAsia="方正黑体_GBK" w:cs="宋体"/>
          <w:kern w:val="0"/>
          <w:sz w:val="32"/>
          <w:szCs w:val="28"/>
        </w:rPr>
      </w:pPr>
      <w:r>
        <w:rPr>
          <w:rFonts w:hint="eastAsia" w:ascii="方正黑体_GBK" w:hAnsi="宋体" w:eastAsia="方正黑体_GBK" w:cs="宋体"/>
          <w:kern w:val="0"/>
          <w:sz w:val="32"/>
          <w:szCs w:val="28"/>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黑体_GBK" w:hAnsi="宋体" w:eastAsia="方正黑体_GBK" w:cs="宋体"/>
          <w:kern w:val="0"/>
          <w:sz w:val="32"/>
          <w:szCs w:val="28"/>
        </w:rPr>
      </w:pPr>
      <w:r>
        <w:rPr>
          <w:rFonts w:hint="eastAsia" w:ascii="方正黑体_GBK" w:hAnsi="宋体" w:eastAsia="方正黑体_GBK" w:cs="宋体"/>
          <w:kern w:val="0"/>
          <w:sz w:val="32"/>
          <w:szCs w:val="28"/>
        </w:rPr>
        <w:t>附件</w:t>
      </w:r>
      <w:r>
        <w:rPr>
          <w:rFonts w:hint="default" w:ascii="Times New Roman" w:hAnsi="Times New Roman" w:eastAsia="方正黑体_GBK" w:cs="Times New Roman"/>
          <w:kern w:val="0"/>
          <w:sz w:val="32"/>
          <w:szCs w:val="28"/>
        </w:rPr>
        <w:t>1</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黑体_GBK" w:hAnsi="宋体" w:eastAsia="方正黑体_GBK" w:cs="宋体"/>
          <w:kern w:val="0"/>
          <w:sz w:val="32"/>
          <w:szCs w:val="28"/>
        </w:rPr>
      </w:pPr>
    </w:p>
    <w:p>
      <w:pPr>
        <w:keepNext w:val="0"/>
        <w:keepLines w:val="0"/>
        <w:pageBreakBefore w:val="0"/>
        <w:widowControl/>
        <w:kinsoku/>
        <w:wordWrap/>
        <w:overflowPunct/>
        <w:topLinePunct w:val="0"/>
        <w:autoSpaceDE/>
        <w:autoSpaceDN/>
        <w:bidi w:val="0"/>
        <w:adjustRightInd/>
        <w:snapToGrid/>
        <w:spacing w:beforeAutospacing="0" w:after="157" w:afterLines="50" w:afterAutospacing="0" w:line="600" w:lineRule="exact"/>
        <w:ind w:firstLine="482"/>
        <w:jc w:val="center"/>
        <w:textAlignment w:val="auto"/>
        <w:rPr>
          <w:rFonts w:hint="eastAsia" w:ascii="宋体" w:hAnsi="宋体" w:cs="宋体"/>
          <w:color w:val="333333"/>
          <w:kern w:val="0"/>
          <w:sz w:val="24"/>
        </w:rPr>
      </w:pPr>
      <w:r>
        <w:rPr>
          <w:rFonts w:hint="eastAsia" w:ascii="方正小标宋_GBK" w:hAnsi="宋体" w:eastAsia="方正小标宋_GBK" w:cs="宋体"/>
          <w:color w:val="333333"/>
          <w:kern w:val="0"/>
          <w:sz w:val="44"/>
          <w:szCs w:val="44"/>
        </w:rPr>
        <w:t>依法取消区级行政审批项目目录</w:t>
      </w:r>
    </w:p>
    <w:tbl>
      <w:tblPr>
        <w:tblStyle w:val="10"/>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698"/>
        <w:gridCol w:w="1422"/>
        <w:gridCol w:w="2528"/>
        <w:gridCol w:w="432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jc w:val="center"/>
        </w:trPr>
        <w:tc>
          <w:tcPr>
            <w:tcW w:w="699"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jc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序号</w:t>
            </w:r>
          </w:p>
        </w:tc>
        <w:tc>
          <w:tcPr>
            <w:tcW w:w="1422"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jc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实施部门</w:t>
            </w:r>
          </w:p>
        </w:tc>
        <w:tc>
          <w:tcPr>
            <w:tcW w:w="252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ind w:firstLine="480"/>
              <w:jc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项目名称</w:t>
            </w:r>
          </w:p>
        </w:tc>
        <w:tc>
          <w:tcPr>
            <w:tcW w:w="432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ind w:firstLine="480"/>
              <w:jc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设定依据</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235" w:hRule="atLeast"/>
          <w:jc w:val="center"/>
        </w:trPr>
        <w:tc>
          <w:tcPr>
            <w:tcW w:w="699"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ind w:firstLine="280" w:firstLineChars="100"/>
              <w:rPr>
                <w:rFonts w:hint="eastAsia" w:ascii="方正仿宋_GBK" w:hAnsi="宋体" w:eastAsia="方正仿宋_GBK" w:cs="宋体"/>
                <w:kern w:val="0"/>
                <w:sz w:val="28"/>
                <w:szCs w:val="28"/>
              </w:rPr>
            </w:pPr>
            <w:r>
              <w:rPr>
                <w:rFonts w:hint="default" w:ascii="Times New Roman" w:hAnsi="Times New Roman" w:eastAsia="方正仿宋_GBK" w:cs="Times New Roman"/>
                <w:kern w:val="0"/>
                <w:sz w:val="28"/>
                <w:szCs w:val="28"/>
              </w:rPr>
              <w:t>1</w:t>
            </w:r>
          </w:p>
        </w:tc>
        <w:tc>
          <w:tcPr>
            <w:tcW w:w="1422"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区质监局</w:t>
            </w:r>
          </w:p>
        </w:tc>
        <w:tc>
          <w:tcPr>
            <w:tcW w:w="252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ind w:firstLine="140" w:firstLineChars="50"/>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计量检定员资格核准</w:t>
            </w:r>
          </w:p>
        </w:tc>
        <w:tc>
          <w:tcPr>
            <w:tcW w:w="432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《中华人民共和国计量法》《中华人民共和国计量法实施细则》</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668" w:hRule="atLeast"/>
          <w:jc w:val="center"/>
        </w:trPr>
        <w:tc>
          <w:tcPr>
            <w:tcW w:w="699"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ind w:firstLine="280" w:firstLineChars="100"/>
              <w:rPr>
                <w:rFonts w:hint="eastAsia" w:ascii="方正仿宋_GBK" w:hAnsi="宋体" w:eastAsia="方正仿宋_GBK" w:cs="宋体"/>
                <w:kern w:val="0"/>
                <w:sz w:val="28"/>
                <w:szCs w:val="28"/>
              </w:rPr>
            </w:pPr>
            <w:r>
              <w:rPr>
                <w:rFonts w:hint="default" w:ascii="Times New Roman" w:hAnsi="Times New Roman" w:eastAsia="方正仿宋_GBK" w:cs="Times New Roman"/>
                <w:kern w:val="0"/>
                <w:sz w:val="28"/>
                <w:szCs w:val="28"/>
              </w:rPr>
              <w:t>2</w:t>
            </w:r>
          </w:p>
        </w:tc>
        <w:tc>
          <w:tcPr>
            <w:tcW w:w="1422"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区市政园林局</w:t>
            </w:r>
          </w:p>
        </w:tc>
        <w:tc>
          <w:tcPr>
            <w:tcW w:w="252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城市建设工程项目配套绿化工程设施验收</w:t>
            </w:r>
          </w:p>
        </w:tc>
        <w:tc>
          <w:tcPr>
            <w:tcW w:w="432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400" w:lineRule="exac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《城市绿化条例》（国务院令第</w:t>
            </w:r>
            <w:r>
              <w:rPr>
                <w:rFonts w:hint="default" w:ascii="Times New Roman" w:hAnsi="Times New Roman" w:eastAsia="方正仿宋_GBK" w:cs="Times New Roman"/>
                <w:kern w:val="0"/>
                <w:sz w:val="28"/>
                <w:szCs w:val="28"/>
              </w:rPr>
              <w:t>100</w:t>
            </w:r>
            <w:r>
              <w:rPr>
                <w:rFonts w:hint="eastAsia" w:ascii="方正仿宋_GBK" w:hAnsi="宋体" w:eastAsia="方正仿宋_GBK" w:cs="宋体"/>
                <w:kern w:val="0"/>
                <w:sz w:val="28"/>
                <w:szCs w:val="28"/>
              </w:rPr>
              <w:t>号）,《重庆市城市园林绿化条例》</w:t>
            </w:r>
          </w:p>
        </w:tc>
      </w:tr>
    </w:tbl>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jc w:val="center"/>
        <w:rPr>
          <w:rFonts w:hint="eastAsia" w:ascii="宋体" w:hAnsi="宋体" w:cs="宋体"/>
          <w:kern w:val="0"/>
          <w:sz w:val="24"/>
        </w:rPr>
      </w:pPr>
    </w:p>
    <w:p>
      <w:pPr>
        <w:widowControl/>
        <w:spacing w:line="240" w:lineRule="atLeast"/>
        <w:rPr>
          <w:rFonts w:hint="eastAsia" w:ascii="宋体" w:hAnsi="宋体" w:cs="宋体"/>
          <w:kern w:val="0"/>
          <w:sz w:val="24"/>
        </w:rPr>
      </w:pPr>
      <w:r>
        <w:rPr>
          <w:rFonts w:hint="eastAsia" w:ascii="宋体" w:hAnsi="宋体" w:cs="宋体"/>
          <w:kern w:val="0"/>
          <w:sz w:val="24"/>
        </w:rPr>
        <w:t> </w:t>
      </w:r>
    </w:p>
    <w:p>
      <w:pPr>
        <w:rPr>
          <w:rFonts w:hint="eastAsia" w:ascii="方正黑体_GBK" w:hAnsi="宋体" w:eastAsia="方正黑体_GBK" w:cs="宋体"/>
          <w:kern w:val="0"/>
          <w:sz w:val="32"/>
          <w:szCs w:val="28"/>
        </w:rPr>
      </w:pPr>
      <w:r>
        <w:rPr>
          <w:rFonts w:hint="eastAsia" w:ascii="方正黑体_GBK" w:hAnsi="宋体" w:eastAsia="方正黑体_GBK" w:cs="宋体"/>
          <w:kern w:val="0"/>
          <w:sz w:val="32"/>
          <w:szCs w:val="28"/>
        </w:rPr>
        <w:br w:type="page"/>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方正黑体_GBK" w:hAnsi="宋体" w:eastAsia="方正黑体_GBK" w:cs="宋体"/>
          <w:kern w:val="0"/>
          <w:sz w:val="32"/>
          <w:szCs w:val="28"/>
        </w:rPr>
      </w:pPr>
      <w:r>
        <w:rPr>
          <w:rFonts w:hint="eastAsia" w:ascii="方正黑体_GBK" w:hAnsi="宋体" w:eastAsia="方正黑体_GBK" w:cs="宋体"/>
          <w:kern w:val="0"/>
          <w:sz w:val="32"/>
          <w:szCs w:val="28"/>
        </w:rPr>
        <w:t>附件</w:t>
      </w:r>
      <w:r>
        <w:rPr>
          <w:rFonts w:hint="default" w:ascii="Times New Roman" w:hAnsi="Times New Roman" w:eastAsia="方正黑体_GBK" w:cs="Times New Roman"/>
          <w:kern w:val="0"/>
          <w:sz w:val="32"/>
          <w:szCs w:val="28"/>
        </w:rPr>
        <w:t>2</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方正黑体_GBK" w:hAnsi="宋体" w:eastAsia="方正黑体_GBK" w:cs="宋体"/>
          <w:kern w:val="0"/>
          <w:sz w:val="32"/>
          <w:szCs w:val="28"/>
        </w:rPr>
      </w:pPr>
    </w:p>
    <w:p>
      <w:pPr>
        <w:keepNext w:val="0"/>
        <w:keepLines w:val="0"/>
        <w:pageBreakBefore w:val="0"/>
        <w:widowControl/>
        <w:kinsoku/>
        <w:wordWrap/>
        <w:overflowPunct/>
        <w:topLinePunct w:val="0"/>
        <w:autoSpaceDE/>
        <w:autoSpaceDN/>
        <w:bidi w:val="0"/>
        <w:adjustRightInd/>
        <w:snapToGrid/>
        <w:spacing w:beforeAutospacing="0" w:after="157" w:afterLines="50" w:afterAutospacing="0" w:line="600" w:lineRule="exact"/>
        <w:jc w:val="center"/>
        <w:textAlignment w:val="auto"/>
        <w:rPr>
          <w:rFonts w:hint="eastAsia" w:ascii="宋体" w:hAnsi="宋体" w:cs="宋体"/>
          <w:color w:val="333333"/>
          <w:kern w:val="0"/>
          <w:sz w:val="24"/>
        </w:rPr>
      </w:pPr>
      <w:r>
        <w:rPr>
          <w:rFonts w:hint="eastAsia" w:ascii="方正小标宋_GBK" w:hAnsi="宋体" w:eastAsia="方正小标宋_GBK" w:cs="宋体"/>
          <w:color w:val="333333"/>
          <w:kern w:val="0"/>
          <w:sz w:val="44"/>
          <w:szCs w:val="44"/>
        </w:rPr>
        <w:t>依法调整区级行政审批项目目录</w:t>
      </w:r>
    </w:p>
    <w:tbl>
      <w:tblPr>
        <w:tblStyle w:val="10"/>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948"/>
        <w:gridCol w:w="1422"/>
        <w:gridCol w:w="1704"/>
        <w:gridCol w:w="540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948"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140" w:firstLineChars="50"/>
              <w:jc w:val="center"/>
              <w:textAlignment w:val="auto"/>
              <w:rPr>
                <w:rFonts w:hint="eastAsia" w:ascii="方正黑体_GBK" w:hAnsi="方正黑体_GBK" w:eastAsia="方正黑体_GBK" w:cs="方正黑体_GBK"/>
                <w:b w:val="0"/>
                <w:bCs/>
                <w:kern w:val="0"/>
                <w:sz w:val="28"/>
                <w:szCs w:val="28"/>
              </w:rPr>
            </w:pPr>
            <w:r>
              <w:rPr>
                <w:rFonts w:hint="eastAsia" w:ascii="方正黑体_GBK" w:hAnsi="方正黑体_GBK" w:eastAsia="方正黑体_GBK" w:cs="方正黑体_GBK"/>
                <w:b w:val="0"/>
                <w:bCs/>
                <w:kern w:val="0"/>
                <w:sz w:val="28"/>
                <w:szCs w:val="28"/>
              </w:rPr>
              <w:t>序号</w:t>
            </w:r>
          </w:p>
        </w:tc>
        <w:tc>
          <w:tcPr>
            <w:tcW w:w="1422"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方正黑体_GBK" w:hAnsi="方正黑体_GBK" w:eastAsia="方正黑体_GBK" w:cs="方正黑体_GBK"/>
                <w:b w:val="0"/>
                <w:bCs/>
                <w:kern w:val="0"/>
                <w:sz w:val="28"/>
                <w:szCs w:val="28"/>
              </w:rPr>
            </w:pPr>
            <w:r>
              <w:rPr>
                <w:rFonts w:hint="eastAsia" w:ascii="方正黑体_GBK" w:hAnsi="方正黑体_GBK" w:eastAsia="方正黑体_GBK" w:cs="方正黑体_GBK"/>
                <w:b w:val="0"/>
                <w:bCs/>
                <w:kern w:val="0"/>
                <w:sz w:val="28"/>
                <w:szCs w:val="28"/>
              </w:rPr>
              <w:t>实施部门</w:t>
            </w:r>
          </w:p>
        </w:tc>
        <w:tc>
          <w:tcPr>
            <w:tcW w:w="170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方正黑体_GBK" w:hAnsi="方正黑体_GBK" w:eastAsia="方正黑体_GBK" w:cs="方正黑体_GBK"/>
                <w:b w:val="0"/>
                <w:bCs/>
                <w:kern w:val="0"/>
                <w:sz w:val="28"/>
                <w:szCs w:val="28"/>
              </w:rPr>
            </w:pPr>
            <w:r>
              <w:rPr>
                <w:rFonts w:hint="eastAsia" w:ascii="方正黑体_GBK" w:hAnsi="方正黑体_GBK" w:eastAsia="方正黑体_GBK" w:cs="方正黑体_GBK"/>
                <w:b w:val="0"/>
                <w:bCs/>
                <w:kern w:val="0"/>
                <w:sz w:val="28"/>
                <w:szCs w:val="28"/>
              </w:rPr>
              <w:t>项目名称</w:t>
            </w:r>
          </w:p>
        </w:tc>
        <w:tc>
          <w:tcPr>
            <w:tcW w:w="540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center"/>
              <w:textAlignment w:val="auto"/>
              <w:rPr>
                <w:rFonts w:hint="eastAsia" w:ascii="方正黑体_GBK" w:hAnsi="方正黑体_GBK" w:eastAsia="方正黑体_GBK" w:cs="方正黑体_GBK"/>
                <w:b w:val="0"/>
                <w:bCs/>
                <w:kern w:val="0"/>
                <w:sz w:val="28"/>
                <w:szCs w:val="28"/>
              </w:rPr>
            </w:pPr>
            <w:r>
              <w:rPr>
                <w:rFonts w:hint="eastAsia" w:ascii="方正黑体_GBK" w:hAnsi="方正黑体_GBK" w:eastAsia="方正黑体_GBK" w:cs="方正黑体_GBK"/>
                <w:b w:val="0"/>
                <w:bCs/>
                <w:kern w:val="0"/>
                <w:sz w:val="28"/>
                <w:szCs w:val="28"/>
              </w:rPr>
              <w:t>调整内容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94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ind w:firstLine="240" w:firstLineChars="100"/>
              <w:rPr>
                <w:rFonts w:hint="eastAsia" w:ascii="方正仿宋_GBK" w:hAnsi="宋体" w:eastAsia="方正仿宋_GBK" w:cs="宋体"/>
                <w:kern w:val="0"/>
                <w:sz w:val="24"/>
                <w:szCs w:val="28"/>
              </w:rPr>
            </w:pPr>
            <w:r>
              <w:rPr>
                <w:rFonts w:hint="default" w:ascii="Times New Roman" w:hAnsi="Times New Roman" w:eastAsia="方正仿宋_GBK" w:cs="Times New Roman"/>
                <w:kern w:val="0"/>
                <w:sz w:val="24"/>
                <w:szCs w:val="28"/>
              </w:rPr>
              <w:t>1</w:t>
            </w:r>
          </w:p>
        </w:tc>
        <w:tc>
          <w:tcPr>
            <w:tcW w:w="1422"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jc w:val="center"/>
              <w:rPr>
                <w:rFonts w:hint="eastAsia" w:ascii="方正仿宋_GBK" w:hAnsi="宋体" w:eastAsia="方正仿宋_GBK" w:cs="宋体"/>
                <w:kern w:val="0"/>
                <w:sz w:val="24"/>
                <w:szCs w:val="28"/>
              </w:rPr>
            </w:pPr>
            <w:r>
              <w:rPr>
                <w:rFonts w:hint="eastAsia" w:ascii="方正仿宋_GBK" w:hAnsi="宋体" w:eastAsia="方正仿宋_GBK" w:cs="宋体"/>
                <w:kern w:val="0"/>
                <w:sz w:val="24"/>
                <w:szCs w:val="28"/>
              </w:rPr>
              <w:t>区发展改革委</w:t>
            </w:r>
          </w:p>
        </w:tc>
        <w:tc>
          <w:tcPr>
            <w:tcW w:w="1704"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rPr>
                <w:rFonts w:hint="eastAsia" w:ascii="方正仿宋_GBK" w:hAnsi="宋体" w:eastAsia="方正仿宋_GBK" w:cs="宋体"/>
                <w:kern w:val="0"/>
                <w:sz w:val="24"/>
                <w:szCs w:val="28"/>
              </w:rPr>
            </w:pPr>
            <w:r>
              <w:rPr>
                <w:rFonts w:hint="eastAsia" w:ascii="方正仿宋_GBK" w:hAnsi="宋体" w:eastAsia="方正仿宋_GBK" w:cs="宋体"/>
                <w:kern w:val="0"/>
                <w:sz w:val="24"/>
                <w:szCs w:val="28"/>
              </w:rPr>
              <w:t>企业、事业单位、社会团体等投资建设的固定资产投资项目核准</w:t>
            </w:r>
          </w:p>
        </w:tc>
        <w:tc>
          <w:tcPr>
            <w:tcW w:w="540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rPr>
                <w:rFonts w:hint="eastAsia" w:ascii="方正仿宋_GBK" w:hAnsi="宋体" w:eastAsia="方正仿宋_GBK" w:cs="宋体"/>
                <w:kern w:val="0"/>
                <w:sz w:val="24"/>
                <w:szCs w:val="28"/>
              </w:rPr>
            </w:pPr>
            <w:r>
              <w:rPr>
                <w:rFonts w:hint="eastAsia" w:ascii="方正仿宋_GBK" w:hAnsi="宋体" w:eastAsia="方正仿宋_GBK" w:cs="宋体"/>
                <w:kern w:val="0"/>
                <w:sz w:val="24"/>
                <w:szCs w:val="28"/>
              </w:rPr>
              <w:t>备注栏修改为：“核准项目时按规定一并核准项目招标方案和社会稳定风险评估报告。节能评估审查由项目法人自行决定在项目核准时一并办理，或者在项目开工建设前单独办理”。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948"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ind w:firstLine="240" w:firstLineChars="100"/>
              <w:rPr>
                <w:rFonts w:hint="eastAsia" w:ascii="方正仿宋_GBK" w:hAnsi="宋体" w:eastAsia="方正仿宋_GBK" w:cs="宋体"/>
                <w:kern w:val="0"/>
                <w:sz w:val="24"/>
                <w:szCs w:val="28"/>
              </w:rPr>
            </w:pPr>
            <w:r>
              <w:rPr>
                <w:rFonts w:hint="default" w:ascii="Times New Roman" w:hAnsi="Times New Roman" w:eastAsia="方正仿宋_GBK" w:cs="Times New Roman"/>
                <w:kern w:val="0"/>
                <w:sz w:val="24"/>
                <w:szCs w:val="28"/>
              </w:rPr>
              <w:t>2</w:t>
            </w:r>
          </w:p>
        </w:tc>
        <w:tc>
          <w:tcPr>
            <w:tcW w:w="1422"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rPr>
                <w:rFonts w:hint="eastAsia" w:ascii="方正仿宋_GBK" w:hAnsi="宋体" w:eastAsia="方正仿宋_GBK" w:cs="宋体"/>
                <w:kern w:val="0"/>
                <w:sz w:val="24"/>
                <w:szCs w:val="28"/>
              </w:rPr>
            </w:pPr>
            <w:r>
              <w:rPr>
                <w:rFonts w:hint="eastAsia" w:ascii="方正仿宋_GBK" w:hAnsi="宋体" w:eastAsia="方正仿宋_GBK" w:cs="宋体"/>
                <w:kern w:val="0"/>
                <w:sz w:val="24"/>
                <w:szCs w:val="28"/>
              </w:rPr>
              <w:t>区旅游局</w:t>
            </w:r>
          </w:p>
        </w:tc>
        <w:tc>
          <w:tcPr>
            <w:tcW w:w="1704"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jc w:val="center"/>
              <w:rPr>
                <w:rFonts w:hint="eastAsia" w:ascii="方正仿宋_GBK" w:hAnsi="宋体" w:eastAsia="方正仿宋_GBK" w:cs="宋体"/>
                <w:kern w:val="0"/>
                <w:sz w:val="24"/>
                <w:szCs w:val="28"/>
              </w:rPr>
            </w:pPr>
            <w:r>
              <w:rPr>
                <w:rFonts w:hint="eastAsia" w:ascii="方正仿宋_GBK" w:hAnsi="宋体" w:eastAsia="方正仿宋_GBK" w:cs="宋体"/>
                <w:kern w:val="0"/>
                <w:sz w:val="24"/>
                <w:szCs w:val="28"/>
              </w:rPr>
              <w:t>经营国内和入境旅游业务旅行社设立资质许可</w:t>
            </w:r>
          </w:p>
        </w:tc>
        <w:tc>
          <w:tcPr>
            <w:tcW w:w="540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100" w:beforeAutospacing="1" w:after="100" w:afterAutospacing="1" w:line="560" w:lineRule="exact"/>
              <w:rPr>
                <w:rFonts w:hint="eastAsia" w:ascii="方正仿宋_GBK" w:hAnsi="宋体" w:eastAsia="方正仿宋_GBK" w:cs="宋体"/>
                <w:kern w:val="0"/>
                <w:sz w:val="24"/>
                <w:szCs w:val="28"/>
              </w:rPr>
            </w:pPr>
            <w:r>
              <w:rPr>
                <w:rFonts w:hint="eastAsia" w:ascii="方正仿宋_GBK" w:hAnsi="宋体" w:eastAsia="方正仿宋_GBK" w:cs="宋体"/>
                <w:kern w:val="0"/>
                <w:sz w:val="24"/>
                <w:szCs w:val="28"/>
              </w:rPr>
              <w:t>设立依据变更为《中华人民共和国旅游法》第二十八条：“设立旅行社，招徕、组织、接待旅游者，为其提供旅游服务，应当具备下列条件，取得旅游主管部门的许可，依法办理工商登记”；《旅行社条例》（国务院令第</w:t>
            </w:r>
            <w:r>
              <w:rPr>
                <w:rFonts w:hint="default" w:ascii="Times New Roman" w:hAnsi="Times New Roman" w:eastAsia="方正仿宋_GBK" w:cs="Times New Roman"/>
                <w:kern w:val="0"/>
                <w:sz w:val="24"/>
                <w:szCs w:val="28"/>
              </w:rPr>
              <w:t>550</w:t>
            </w:r>
            <w:r>
              <w:rPr>
                <w:rFonts w:hint="eastAsia" w:ascii="方正仿宋_GBK" w:hAnsi="宋体" w:eastAsia="方正仿宋_GBK" w:cs="宋体"/>
                <w:kern w:val="0"/>
                <w:sz w:val="24"/>
                <w:szCs w:val="28"/>
              </w:rPr>
              <w:t>号）第七条：“申请设立旅行社，经营国内旅游业务和入境旅游业务的，应当向所在地省、自治区、直辖市旅游行政管理部门或者其委托的设区的市级旅游行政管理部门提出申请”。</w:t>
            </w:r>
          </w:p>
        </w:tc>
      </w:tr>
    </w:tbl>
    <w:p>
      <w:pPr>
        <w:rPr>
          <w:rFonts w:hint="eastAsia" w:ascii="Times New Roman" w:hAnsi="Times New Roman" w:eastAsia="方正仿宋_GBK"/>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9.7pt;height:0pt;width:442.55pt;z-index:251659264;mso-width-relative:page;mso-height-relative:page;" filled="f" stroked="t" coordsize="21600,21600" o:gfxdata="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IRJvTAAAABg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U1OGQ4NmExYjE2ODJmODkzZTIwYWRlYmVlYjYifQ=="/>
  </w:docVars>
  <w:rsids>
    <w:rsidRoot w:val="00172A27"/>
    <w:rsid w:val="011B274B"/>
    <w:rsid w:val="01870C0E"/>
    <w:rsid w:val="019E71BD"/>
    <w:rsid w:val="02C271C3"/>
    <w:rsid w:val="03242B2E"/>
    <w:rsid w:val="041C42DA"/>
    <w:rsid w:val="04B679C3"/>
    <w:rsid w:val="04F03584"/>
    <w:rsid w:val="05F07036"/>
    <w:rsid w:val="06E00104"/>
    <w:rsid w:val="080F63D8"/>
    <w:rsid w:val="08790991"/>
    <w:rsid w:val="089F4083"/>
    <w:rsid w:val="09341458"/>
    <w:rsid w:val="098254C2"/>
    <w:rsid w:val="0A766EDE"/>
    <w:rsid w:val="0AD64BE8"/>
    <w:rsid w:val="0B0912D7"/>
    <w:rsid w:val="0BC2482B"/>
    <w:rsid w:val="0CA926BE"/>
    <w:rsid w:val="0E025194"/>
    <w:rsid w:val="1442276A"/>
    <w:rsid w:val="152D2DCA"/>
    <w:rsid w:val="15DA24D6"/>
    <w:rsid w:val="187168EA"/>
    <w:rsid w:val="196673CA"/>
    <w:rsid w:val="1B2F4AEE"/>
    <w:rsid w:val="1B88505A"/>
    <w:rsid w:val="1CF734C9"/>
    <w:rsid w:val="1DEC284C"/>
    <w:rsid w:val="1E6523AC"/>
    <w:rsid w:val="22440422"/>
    <w:rsid w:val="22BB4BBB"/>
    <w:rsid w:val="2324786B"/>
    <w:rsid w:val="24B24DBB"/>
    <w:rsid w:val="25B865A3"/>
    <w:rsid w:val="28585DB9"/>
    <w:rsid w:val="297377DB"/>
    <w:rsid w:val="2A9520AA"/>
    <w:rsid w:val="2AB8573C"/>
    <w:rsid w:val="2AEB3417"/>
    <w:rsid w:val="2CB34E83"/>
    <w:rsid w:val="2D152FCC"/>
    <w:rsid w:val="2D2A0051"/>
    <w:rsid w:val="2D8A287A"/>
    <w:rsid w:val="2DE34927"/>
    <w:rsid w:val="30405FC0"/>
    <w:rsid w:val="307C64E0"/>
    <w:rsid w:val="31A15F24"/>
    <w:rsid w:val="324A1681"/>
    <w:rsid w:val="36FB1DF0"/>
    <w:rsid w:val="37597C99"/>
    <w:rsid w:val="37F00683"/>
    <w:rsid w:val="3858454F"/>
    <w:rsid w:val="395347B5"/>
    <w:rsid w:val="39A232A0"/>
    <w:rsid w:val="39E745AA"/>
    <w:rsid w:val="3B5A6BBB"/>
    <w:rsid w:val="3CD200F7"/>
    <w:rsid w:val="3E5E2286"/>
    <w:rsid w:val="3EDA13A6"/>
    <w:rsid w:val="417B75E9"/>
    <w:rsid w:val="42F058B7"/>
    <w:rsid w:val="43064396"/>
    <w:rsid w:val="43463917"/>
    <w:rsid w:val="436109F6"/>
    <w:rsid w:val="44021D4F"/>
    <w:rsid w:val="441A38D4"/>
    <w:rsid w:val="4504239D"/>
    <w:rsid w:val="4BC77339"/>
    <w:rsid w:val="4BDD2FD7"/>
    <w:rsid w:val="4C903854"/>
    <w:rsid w:val="4C9236C5"/>
    <w:rsid w:val="4E250A85"/>
    <w:rsid w:val="4FFD4925"/>
    <w:rsid w:val="505C172E"/>
    <w:rsid w:val="506405EA"/>
    <w:rsid w:val="51615C73"/>
    <w:rsid w:val="51682FB5"/>
    <w:rsid w:val="523E6597"/>
    <w:rsid w:val="52F46F0B"/>
    <w:rsid w:val="532B6A10"/>
    <w:rsid w:val="53D8014D"/>
    <w:rsid w:val="55174677"/>
    <w:rsid w:val="55E064E0"/>
    <w:rsid w:val="56952C90"/>
    <w:rsid w:val="56AE49CC"/>
    <w:rsid w:val="572C6D10"/>
    <w:rsid w:val="579C3867"/>
    <w:rsid w:val="59465C96"/>
    <w:rsid w:val="5A6312D3"/>
    <w:rsid w:val="5D120CC8"/>
    <w:rsid w:val="5DC34279"/>
    <w:rsid w:val="5E235668"/>
    <w:rsid w:val="5EBA1BF8"/>
    <w:rsid w:val="5FBE0160"/>
    <w:rsid w:val="5FCD688E"/>
    <w:rsid w:val="5FF9BDAA"/>
    <w:rsid w:val="5FFE5333"/>
    <w:rsid w:val="608816D1"/>
    <w:rsid w:val="60CC515F"/>
    <w:rsid w:val="60DE5E88"/>
    <w:rsid w:val="60EF4E7F"/>
    <w:rsid w:val="617B1595"/>
    <w:rsid w:val="63986A65"/>
    <w:rsid w:val="648B0A32"/>
    <w:rsid w:val="665233C1"/>
    <w:rsid w:val="69566947"/>
    <w:rsid w:val="69AC0D42"/>
    <w:rsid w:val="6AD9688B"/>
    <w:rsid w:val="6C7416EC"/>
    <w:rsid w:val="6D0E3F22"/>
    <w:rsid w:val="6FDA1D9E"/>
    <w:rsid w:val="728313C6"/>
    <w:rsid w:val="73A56661"/>
    <w:rsid w:val="744E4660"/>
    <w:rsid w:val="74896D48"/>
    <w:rsid w:val="753355A2"/>
    <w:rsid w:val="759F1C61"/>
    <w:rsid w:val="769F2DE8"/>
    <w:rsid w:val="76FDEB7C"/>
    <w:rsid w:val="790C6E0C"/>
    <w:rsid w:val="79520230"/>
    <w:rsid w:val="79C65162"/>
    <w:rsid w:val="7A711C52"/>
    <w:rsid w:val="7C560E0D"/>
    <w:rsid w:val="7C9011D9"/>
    <w:rsid w:val="7DC651C5"/>
    <w:rsid w:val="7DF350ED"/>
    <w:rsid w:val="7E0949B0"/>
    <w:rsid w:val="7F48436A"/>
    <w:rsid w:val="7F9DA0E8"/>
    <w:rsid w:val="7FA2466E"/>
    <w:rsid w:val="7FCC2834"/>
    <w:rsid w:val="7FCD7839"/>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ind w:firstLine="640" w:firstLineChars="200"/>
      <w:outlineLvl w:val="0"/>
    </w:pPr>
    <w:rPr>
      <w:rFonts w:eastAsia="方正黑体_GBK"/>
      <w:kern w:val="44"/>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semiHidden/>
    <w:qFormat/>
    <w:uiPriority w:val="0"/>
    <w:pPr>
      <w:widowControl/>
      <w:shd w:val="clear" w:color="auto" w:fill="FFFFFF"/>
      <w:spacing w:line="560" w:lineRule="exact"/>
      <w:ind w:firstLine="632"/>
    </w:pPr>
    <w:rPr>
      <w:rFonts w:ascii="Times New Roman" w:hAnsi="Times New Roman" w:eastAsia="方正仿宋_GBK"/>
      <w:kern w:val="0"/>
      <w:sz w:val="32"/>
      <w:szCs w:val="32"/>
      <w:shd w:val="clear" w:color="auto" w:fill="FFFFFF"/>
      <w:lang w:bidi="ar"/>
    </w:rPr>
  </w:style>
  <w:style w:type="paragraph" w:styleId="6">
    <w:name w:val="Date"/>
    <w:basedOn w:val="1"/>
    <w:next w:val="1"/>
    <w:qFormat/>
    <w:uiPriority w:val="0"/>
    <w:pPr>
      <w:ind w:left="100" w:leftChars="2500"/>
    </w:pPr>
    <w:rPr>
      <w:rFonts w:hAnsi="方正仿宋_GBK" w:eastAsia="方正仿宋_GBK"/>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rPr>
      <w:rFonts w:ascii="Times New Roman" w:hAnsi="Times New Roman" w:cs="Times New Roman"/>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标题 2 Char"/>
    <w:basedOn w:val="11"/>
    <w:qFormat/>
    <w:uiPriority w:val="0"/>
    <w:rPr>
      <w:rFonts w:ascii="Arial" w:hAnsi="Arial" w:eastAsia="方正楷体_GBK" w:cs="Arial"/>
      <w:kern w:val="2"/>
      <w:sz w:val="32"/>
      <w:szCs w:val="24"/>
      <w:lang w:val="en-US" w:eastAsia="zh-CN" w:bidi="ar"/>
    </w:rPr>
  </w:style>
  <w:style w:type="paragraph" w:customStyle="1" w:styleId="16">
    <w:name w:val="批注框文本1"/>
    <w:basedOn w:val="1"/>
    <w:qFormat/>
    <w:uiPriority w:val="0"/>
    <w:rPr>
      <w:sz w:val="18"/>
      <w:szCs w:val="18"/>
    </w:rPr>
  </w:style>
  <w:style w:type="paragraph" w:customStyle="1" w:styleId="17">
    <w:name w:val="xl16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949</Words>
  <Characters>967</Characters>
  <Lines>1</Lines>
  <Paragraphs>1</Paragraphs>
  <TotalTime>4</TotalTime>
  <ScaleCrop>false</ScaleCrop>
  <LinksUpToDate>false</LinksUpToDate>
  <CharactersWithSpaces>976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一叶知秋</cp:lastModifiedBy>
  <cp:lastPrinted>2022-05-12T00:46:00Z</cp:lastPrinted>
  <dcterms:modified xsi:type="dcterms:W3CDTF">2022-06-13T10:03:43Z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