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75076">
      <w:pPr>
        <w:spacing w:before="59"/>
        <w:ind w:left="120" w:right="0" w:firstLine="0"/>
        <w:jc w:val="left"/>
        <w:rPr>
          <w:rFonts w:ascii="黑体" w:eastAsia="黑体"/>
          <w:color w:val="auto"/>
          <w:spacing w:val="0"/>
          <w:sz w:val="32"/>
        </w:rPr>
      </w:pPr>
      <w:r>
        <w:rPr>
          <w:rFonts w:ascii="黑体" w:eastAsia="黑体"/>
          <w:color w:val="auto"/>
          <w:spacing w:val="0"/>
          <w:sz w:val="32"/>
        </w:rPr>
        <w:t>附件1</w:t>
      </w:r>
    </w:p>
    <w:p w14:paraId="74E68CF6">
      <w:pPr>
        <w:pStyle w:val="2"/>
        <w:ind w:left="0" w:leftChars="0" w:firstLine="0" w:firstLineChars="0"/>
        <w:jc w:val="center"/>
        <w:rPr>
          <w:rFonts w:hint="eastAsia"/>
          <w:color w:val="auto"/>
          <w:spacing w:val="0"/>
          <w:sz w:val="44"/>
          <w:szCs w:val="44"/>
          <w:lang w:val="en-US" w:eastAsia="zh-CN"/>
        </w:rPr>
      </w:pPr>
      <w:r>
        <w:rPr>
          <w:rFonts w:hint="eastAsia"/>
          <w:color w:val="auto"/>
          <w:spacing w:val="0"/>
          <w:lang w:val="en-US" w:eastAsia="zh-CN"/>
        </w:rPr>
        <w:t xml:space="preserve">  </w:t>
      </w:r>
      <w:r>
        <w:rPr>
          <w:rFonts w:hint="eastAsia"/>
          <w:color w:val="auto"/>
          <w:spacing w:val="0"/>
          <w:sz w:val="44"/>
          <w:szCs w:val="44"/>
          <w:lang w:val="en-US" w:eastAsia="zh-CN"/>
        </w:rPr>
        <w:t>开州环湖城区周边“四面山”区域空间控制规划优化调整公示</w:t>
      </w:r>
    </w:p>
    <w:p w14:paraId="25C5DCA2">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宋体" w:cs="Times New Roman"/>
          <w:color w:val="auto"/>
          <w:spacing w:val="0"/>
          <w:sz w:val="32"/>
          <w:szCs w:val="32"/>
        </w:rPr>
      </w:pPr>
      <w:r>
        <w:rPr>
          <w:rFonts w:hint="default" w:ascii="Times New Roman" w:hAnsi="Times New Roman" w:eastAsia="黑体" w:cs="Times New Roman"/>
          <w:color w:val="auto"/>
          <w:spacing w:val="0"/>
          <w:sz w:val="32"/>
          <w:szCs w:val="32"/>
        </w:rPr>
        <w:t>一、编制原因</w:t>
      </w:r>
      <w:r>
        <w:rPr>
          <w:rFonts w:hint="default" w:ascii="Times New Roman" w:hAnsi="Times New Roman" w:eastAsia="宋体" w:cs="Times New Roman"/>
          <w:color w:val="auto"/>
          <w:spacing w:val="0"/>
          <w:sz w:val="32"/>
          <w:szCs w:val="32"/>
        </w:rPr>
        <w:t>：</w:t>
      </w:r>
    </w:p>
    <w:p w14:paraId="54A3C785">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落实上位规划</w:t>
      </w:r>
      <w:r>
        <w:rPr>
          <w:rFonts w:hint="default" w:ascii="Times New Roman" w:hAnsi="Times New Roman" w:cs="Times New Roman"/>
          <w:color w:val="auto"/>
          <w:spacing w:val="0"/>
          <w:sz w:val="32"/>
          <w:szCs w:val="32"/>
          <w:lang w:val="en-US" w:eastAsia="zh-CN"/>
        </w:rPr>
        <w:t>管控</w:t>
      </w:r>
      <w:r>
        <w:rPr>
          <w:rFonts w:hint="default" w:ascii="Times New Roman" w:hAnsi="Times New Roman" w:cs="Times New Roman"/>
          <w:color w:val="auto"/>
          <w:spacing w:val="0"/>
          <w:sz w:val="32"/>
          <w:szCs w:val="32"/>
        </w:rPr>
        <w:t>要求，指导“四面山”区域保护与建设。</w:t>
      </w:r>
    </w:p>
    <w:p w14:paraId="45551273">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宋体" w:cs="Times New Roman"/>
          <w:color w:val="auto"/>
          <w:spacing w:val="0"/>
          <w:sz w:val="32"/>
          <w:szCs w:val="32"/>
        </w:rPr>
      </w:pPr>
      <w:r>
        <w:rPr>
          <w:rFonts w:hint="default" w:ascii="Times New Roman" w:hAnsi="Times New Roman" w:eastAsia="黑体" w:cs="Times New Roman"/>
          <w:color w:val="auto"/>
          <w:spacing w:val="0"/>
          <w:sz w:val="32"/>
          <w:szCs w:val="32"/>
        </w:rPr>
        <w:t>二、编制依据</w:t>
      </w:r>
      <w:r>
        <w:rPr>
          <w:rFonts w:hint="default" w:ascii="Times New Roman" w:hAnsi="Times New Roman" w:eastAsia="宋体" w:cs="Times New Roman"/>
          <w:color w:val="auto"/>
          <w:spacing w:val="0"/>
          <w:sz w:val="32"/>
          <w:szCs w:val="32"/>
        </w:rPr>
        <w:t>：</w:t>
      </w:r>
    </w:p>
    <w:p w14:paraId="2C2A6847">
      <w:pPr>
        <w:pStyle w:val="6"/>
        <w:keepNext w:val="0"/>
        <w:keepLines w:val="0"/>
        <w:pageBreakBefore w:val="0"/>
        <w:widowControl w:val="0"/>
        <w:numPr>
          <w:ilvl w:val="0"/>
          <w:numId w:val="1"/>
        </w:numPr>
        <w:tabs>
          <w:tab w:val="left" w:pos="0"/>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《重庆市开州区国土空间总体规划（2021-2035）》</w:t>
      </w:r>
    </w:p>
    <w:p w14:paraId="77D31B3C">
      <w:pPr>
        <w:pStyle w:val="6"/>
        <w:keepNext w:val="0"/>
        <w:keepLines w:val="0"/>
        <w:pageBreakBefore w:val="0"/>
        <w:widowControl w:val="0"/>
        <w:numPr>
          <w:ilvl w:val="0"/>
          <w:numId w:val="1"/>
        </w:numPr>
        <w:tabs>
          <w:tab w:val="left" w:pos="0"/>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《开州区环湖城区品质提升规划》</w:t>
      </w:r>
    </w:p>
    <w:p w14:paraId="686A6E41">
      <w:pPr>
        <w:pStyle w:val="6"/>
        <w:keepNext w:val="0"/>
        <w:keepLines w:val="0"/>
        <w:pageBreakBefore w:val="0"/>
        <w:widowControl w:val="0"/>
        <w:numPr>
          <w:ilvl w:val="0"/>
          <w:numId w:val="1"/>
        </w:numPr>
        <w:tabs>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《开州区山水公园城市规划导则》</w:t>
      </w:r>
    </w:p>
    <w:p w14:paraId="2944A628">
      <w:pPr>
        <w:pStyle w:val="6"/>
        <w:keepNext w:val="0"/>
        <w:keepLines w:val="0"/>
        <w:pageBreakBefore w:val="0"/>
        <w:widowControl w:val="0"/>
        <w:numPr>
          <w:ilvl w:val="0"/>
          <w:numId w:val="1"/>
        </w:numPr>
        <w:tabs>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重庆市开州区城周“四面山”林相改造提升总体规划》</w:t>
      </w:r>
    </w:p>
    <w:p w14:paraId="7F5DBA94">
      <w:pPr>
        <w:pStyle w:val="6"/>
        <w:keepNext w:val="0"/>
        <w:keepLines w:val="0"/>
        <w:pageBreakBefore w:val="0"/>
        <w:widowControl w:val="0"/>
        <w:numPr>
          <w:ilvl w:val="0"/>
          <w:numId w:val="1"/>
        </w:numPr>
        <w:tabs>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lang w:eastAsia="zh-CN"/>
        </w:rPr>
      </w:pP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重庆市开县</w:t>
      </w:r>
      <w:r>
        <w:rPr>
          <w:rFonts w:hint="default" w:ascii="Times New Roman" w:hAnsi="Times New Roman" w:cs="Times New Roman"/>
          <w:color w:val="auto"/>
          <w:spacing w:val="0"/>
          <w:sz w:val="32"/>
          <w:szCs w:val="32"/>
          <w:lang w:eastAsia="zh-CN"/>
        </w:rPr>
        <w:t>“四面山”区域风貌改造方案设计》</w:t>
      </w:r>
    </w:p>
    <w:p w14:paraId="2436A2D7">
      <w:pPr>
        <w:pStyle w:val="6"/>
        <w:keepNext w:val="0"/>
        <w:keepLines w:val="0"/>
        <w:pageBreakBefore w:val="0"/>
        <w:widowControl w:val="0"/>
        <w:numPr>
          <w:ilvl w:val="0"/>
          <w:numId w:val="1"/>
        </w:numPr>
        <w:tabs>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lang w:eastAsia="zh-CN"/>
        </w:rPr>
      </w:pPr>
      <w:r>
        <w:rPr>
          <w:rFonts w:hint="default" w:ascii="Times New Roman" w:hAnsi="Times New Roman" w:cs="Times New Roman"/>
          <w:color w:val="auto"/>
          <w:spacing w:val="0"/>
          <w:sz w:val="32"/>
          <w:szCs w:val="32"/>
          <w:lang w:eastAsia="zh-CN"/>
        </w:rPr>
        <w:t>《开州区美丽重庆城乡风貌评估》</w:t>
      </w:r>
    </w:p>
    <w:p w14:paraId="29C5E351">
      <w:pPr>
        <w:pStyle w:val="6"/>
        <w:keepNext w:val="0"/>
        <w:keepLines w:val="0"/>
        <w:pageBreakBefore w:val="0"/>
        <w:widowControl w:val="0"/>
        <w:numPr>
          <w:ilvl w:val="0"/>
          <w:numId w:val="1"/>
        </w:numPr>
        <w:tabs>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lang w:eastAsia="zh-CN"/>
        </w:rPr>
      </w:pPr>
      <w:r>
        <w:rPr>
          <w:rFonts w:hint="eastAsia" w:ascii="Times New Roman" w:hAnsi="Times New Roman" w:cs="Times New Roman"/>
          <w:color w:val="auto"/>
          <w:spacing w:val="0"/>
          <w:sz w:val="32"/>
          <w:szCs w:val="32"/>
          <w:lang w:val="en-US" w:eastAsia="zh-CN"/>
        </w:rPr>
        <w:t>其他相关规划、相关的法律、法规和标准文件。</w:t>
      </w:r>
    </w:p>
    <w:p w14:paraId="79D748A2">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cs="Times New Roman"/>
          <w:color w:val="auto"/>
          <w:spacing w:val="0"/>
          <w:sz w:val="32"/>
          <w:szCs w:val="32"/>
        </w:rPr>
      </w:pPr>
      <w:r>
        <w:rPr>
          <w:rFonts w:hint="default" w:ascii="Times New Roman" w:hAnsi="Times New Roman" w:eastAsia="黑体" w:cs="Times New Roman"/>
          <w:color w:val="auto"/>
          <w:spacing w:val="0"/>
          <w:sz w:val="32"/>
          <w:szCs w:val="32"/>
        </w:rPr>
        <w:t>三、编制单位</w:t>
      </w: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val="en-US" w:eastAsia="zh-CN"/>
        </w:rPr>
        <w:t>重庆市设计院</w:t>
      </w:r>
      <w:r>
        <w:rPr>
          <w:rFonts w:hint="default" w:ascii="Times New Roman" w:hAnsi="Times New Roman" w:cs="Times New Roman"/>
          <w:color w:val="auto"/>
          <w:spacing w:val="0"/>
          <w:sz w:val="32"/>
          <w:szCs w:val="32"/>
        </w:rPr>
        <w:t>有限公司</w:t>
      </w:r>
    </w:p>
    <w:p w14:paraId="116927B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cs="Times New Roman"/>
          <w:color w:val="auto"/>
          <w:spacing w:val="0"/>
          <w:sz w:val="32"/>
          <w:szCs w:val="32"/>
        </w:rPr>
      </w:pPr>
      <w:r>
        <w:rPr>
          <w:rFonts w:hint="default" w:ascii="Times New Roman" w:hAnsi="Times New Roman" w:eastAsia="黑体" w:cs="Times New Roman"/>
          <w:color w:val="auto"/>
          <w:spacing w:val="0"/>
          <w:sz w:val="32"/>
          <w:szCs w:val="32"/>
        </w:rPr>
        <w:t>四、公示地点</w:t>
      </w:r>
      <w:r>
        <w:rPr>
          <w:rFonts w:hint="default" w:ascii="Times New Roman" w:hAnsi="Times New Roman" w:cs="Times New Roman"/>
          <w:color w:val="auto"/>
          <w:spacing w:val="0"/>
          <w:sz w:val="32"/>
          <w:szCs w:val="32"/>
        </w:rPr>
        <w:t>：</w:t>
      </w:r>
    </w:p>
    <w:p w14:paraId="4A4FEC11">
      <w:pPr>
        <w:pStyle w:val="6"/>
        <w:keepNext w:val="0"/>
        <w:keepLines w:val="0"/>
        <w:pageBreakBefore w:val="0"/>
        <w:widowControl w:val="0"/>
        <w:numPr>
          <w:ilvl w:val="0"/>
          <w:numId w:val="2"/>
        </w:numPr>
        <w:tabs>
          <w:tab w:val="left" w:pos="0"/>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重庆市开州区规划和自然资源局网站</w:t>
      </w:r>
    </w:p>
    <w:p w14:paraId="5534B7F7">
      <w:pPr>
        <w:pStyle w:val="6"/>
        <w:keepNext w:val="0"/>
        <w:keepLines w:val="0"/>
        <w:pageBreakBefore w:val="0"/>
        <w:widowControl w:val="0"/>
        <w:numPr>
          <w:ilvl w:val="0"/>
          <w:numId w:val="2"/>
        </w:numPr>
        <w:tabs>
          <w:tab w:val="left" w:pos="0"/>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重庆市开州区规划和自然资源局办公场所公开栏</w:t>
      </w:r>
    </w:p>
    <w:p w14:paraId="149D378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cs="Times New Roman"/>
          <w:color w:val="auto"/>
          <w:spacing w:val="0"/>
          <w:sz w:val="32"/>
          <w:szCs w:val="32"/>
        </w:rPr>
      </w:pPr>
      <w:r>
        <w:rPr>
          <w:rFonts w:hint="default" w:ascii="Times New Roman" w:hAnsi="Times New Roman" w:eastAsia="黑体" w:cs="Times New Roman"/>
          <w:color w:val="auto"/>
          <w:spacing w:val="0"/>
          <w:sz w:val="32"/>
          <w:szCs w:val="32"/>
        </w:rPr>
        <w:t>五、公示时间</w:t>
      </w:r>
      <w:r>
        <w:rPr>
          <w:rFonts w:hint="default" w:ascii="Times New Roman" w:hAnsi="Times New Roman" w:cs="Times New Roman"/>
          <w:color w:val="auto"/>
          <w:spacing w:val="0"/>
          <w:sz w:val="32"/>
          <w:szCs w:val="32"/>
        </w:rPr>
        <w:t>：</w:t>
      </w:r>
      <w:r>
        <w:rPr>
          <w:rFonts w:hint="default" w:ascii="Times New Roman" w:hAnsi="Times New Roman" w:eastAsia="Times New Roman" w:cs="Times New Roman"/>
          <w:color w:val="auto"/>
          <w:spacing w:val="0"/>
          <w:sz w:val="32"/>
          <w:szCs w:val="32"/>
        </w:rPr>
        <w:t>202</w:t>
      </w:r>
      <w:r>
        <w:rPr>
          <w:rFonts w:hint="default" w:ascii="Times New Roman" w:hAnsi="Times New Roman" w:eastAsia="宋体" w:cs="Times New Roman"/>
          <w:color w:val="auto"/>
          <w:spacing w:val="0"/>
          <w:sz w:val="32"/>
          <w:szCs w:val="32"/>
          <w:lang w:val="en-US" w:eastAsia="zh-CN"/>
        </w:rPr>
        <w:t>5</w:t>
      </w:r>
      <w:r>
        <w:rPr>
          <w:rFonts w:hint="default" w:ascii="Times New Roman" w:hAnsi="Times New Roman" w:eastAsia="Times New Roman" w:cs="Times New Roman"/>
          <w:color w:val="auto"/>
          <w:spacing w:val="0"/>
          <w:sz w:val="32"/>
          <w:szCs w:val="32"/>
        </w:rPr>
        <w:t xml:space="preserve"> </w:t>
      </w:r>
      <w:r>
        <w:rPr>
          <w:rFonts w:hint="default" w:ascii="Times New Roman" w:hAnsi="Times New Roman" w:cs="Times New Roman"/>
          <w:color w:val="auto"/>
          <w:spacing w:val="0"/>
          <w:sz w:val="32"/>
          <w:szCs w:val="32"/>
        </w:rPr>
        <w:t>年</w:t>
      </w:r>
      <w:r>
        <w:rPr>
          <w:rFonts w:hint="eastAsia" w:ascii="Times New Roman" w:hAnsi="Times New Roman" w:cs="Times New Roman"/>
          <w:color w:val="auto"/>
          <w:spacing w:val="0"/>
          <w:sz w:val="32"/>
          <w:szCs w:val="32"/>
          <w:lang w:val="en-US" w:eastAsia="zh-CN"/>
        </w:rPr>
        <w:t>9</w:t>
      </w:r>
      <w:r>
        <w:rPr>
          <w:rFonts w:hint="default" w:ascii="Times New Roman" w:hAnsi="Times New Roman" w:cs="Times New Roman"/>
          <w:color w:val="auto"/>
          <w:spacing w:val="0"/>
          <w:sz w:val="32"/>
          <w:szCs w:val="32"/>
        </w:rPr>
        <w:t>月</w:t>
      </w:r>
      <w:r>
        <w:rPr>
          <w:rFonts w:hint="eastAsia" w:ascii="Times New Roman" w:hAnsi="Times New Roman" w:cs="Times New Roman"/>
          <w:color w:val="auto"/>
          <w:spacing w:val="0"/>
          <w:sz w:val="32"/>
          <w:szCs w:val="32"/>
          <w:lang w:val="en-US" w:eastAsia="zh-CN"/>
        </w:rPr>
        <w:t>30</w:t>
      </w:r>
      <w:r>
        <w:rPr>
          <w:rFonts w:hint="default" w:ascii="Times New Roman" w:hAnsi="Times New Roman" w:cs="Times New Roman"/>
          <w:color w:val="auto"/>
          <w:spacing w:val="0"/>
          <w:sz w:val="32"/>
          <w:szCs w:val="32"/>
        </w:rPr>
        <w:t>日－</w:t>
      </w:r>
      <w:r>
        <w:rPr>
          <w:rFonts w:hint="default" w:ascii="Times New Roman" w:hAnsi="Times New Roman" w:eastAsia="Times New Roman" w:cs="Times New Roman"/>
          <w:color w:val="auto"/>
          <w:spacing w:val="0"/>
          <w:sz w:val="32"/>
          <w:szCs w:val="32"/>
        </w:rPr>
        <w:t>202</w:t>
      </w:r>
      <w:r>
        <w:rPr>
          <w:rFonts w:hint="eastAsia" w:ascii="Times New Roman" w:hAnsi="Times New Roman" w:eastAsia="宋体" w:cs="Times New Roman"/>
          <w:color w:val="auto"/>
          <w:spacing w:val="0"/>
          <w:sz w:val="32"/>
          <w:szCs w:val="32"/>
          <w:lang w:val="en-US" w:eastAsia="zh-CN"/>
        </w:rPr>
        <w:t>5</w:t>
      </w:r>
      <w:r>
        <w:rPr>
          <w:rFonts w:hint="default" w:ascii="Times New Roman" w:hAnsi="Times New Roman" w:eastAsia="Times New Roman" w:cs="Times New Roman"/>
          <w:color w:val="auto"/>
          <w:spacing w:val="0"/>
          <w:sz w:val="32"/>
          <w:szCs w:val="32"/>
        </w:rPr>
        <w:t xml:space="preserve"> </w:t>
      </w:r>
      <w:r>
        <w:rPr>
          <w:rFonts w:hint="default" w:ascii="Times New Roman" w:hAnsi="Times New Roman" w:cs="Times New Roman"/>
          <w:color w:val="auto"/>
          <w:spacing w:val="0"/>
          <w:sz w:val="32"/>
          <w:szCs w:val="32"/>
        </w:rPr>
        <w:t>年</w:t>
      </w:r>
      <w:r>
        <w:rPr>
          <w:rFonts w:hint="eastAsia" w:ascii="Times New Roman" w:hAnsi="Times New Roman" w:cs="Times New Roman"/>
          <w:color w:val="auto"/>
          <w:spacing w:val="0"/>
          <w:sz w:val="32"/>
          <w:szCs w:val="32"/>
          <w:lang w:val="en-US" w:eastAsia="zh-CN"/>
        </w:rPr>
        <w:t>10</w:t>
      </w:r>
      <w:r>
        <w:rPr>
          <w:rFonts w:hint="default" w:ascii="Times New Roman" w:hAnsi="Times New Roman" w:cs="Times New Roman"/>
          <w:color w:val="auto"/>
          <w:spacing w:val="0"/>
          <w:sz w:val="32"/>
          <w:szCs w:val="32"/>
        </w:rPr>
        <w:t>月</w:t>
      </w:r>
      <w:r>
        <w:rPr>
          <w:rFonts w:hint="eastAsia" w:ascii="Times New Roman" w:hAnsi="Times New Roman" w:cs="Times New Roman"/>
          <w:color w:val="auto"/>
          <w:spacing w:val="0"/>
          <w:sz w:val="32"/>
          <w:szCs w:val="32"/>
          <w:lang w:val="en-US" w:eastAsia="zh-CN"/>
        </w:rPr>
        <w:t>29</w:t>
      </w:r>
      <w:r>
        <w:rPr>
          <w:rFonts w:hint="default" w:ascii="Times New Roman" w:hAnsi="Times New Roman" w:cs="Times New Roman"/>
          <w:color w:val="auto"/>
          <w:spacing w:val="0"/>
          <w:sz w:val="32"/>
          <w:szCs w:val="32"/>
        </w:rPr>
        <w:t>日</w:t>
      </w:r>
    </w:p>
    <w:p w14:paraId="13F8A02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cs="Times New Roman"/>
          <w:color w:val="auto"/>
          <w:spacing w:val="0"/>
          <w:sz w:val="32"/>
          <w:szCs w:val="32"/>
        </w:rPr>
      </w:pPr>
      <w:r>
        <w:rPr>
          <w:rFonts w:hint="default" w:ascii="Times New Roman" w:hAnsi="Times New Roman" w:eastAsia="黑体" w:cs="Times New Roman"/>
          <w:color w:val="auto"/>
          <w:spacing w:val="0"/>
          <w:sz w:val="32"/>
          <w:szCs w:val="32"/>
        </w:rPr>
        <w:t>六、公示单位</w:t>
      </w:r>
      <w:r>
        <w:rPr>
          <w:rFonts w:hint="default" w:ascii="Times New Roman" w:hAnsi="Times New Roman" w:cs="Times New Roman"/>
          <w:color w:val="auto"/>
          <w:spacing w:val="0"/>
          <w:sz w:val="32"/>
          <w:szCs w:val="32"/>
        </w:rPr>
        <w:t>：重庆市开州区规划和自然资源局</w:t>
      </w:r>
    </w:p>
    <w:p w14:paraId="4CE09D9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center"/>
        <w:textAlignment w:val="auto"/>
        <w:rPr>
          <w:rFonts w:hint="default" w:ascii="Times New Roman" w:hAnsi="Times New Roman" w:eastAsia="Times New Roman" w:cs="Times New Roman"/>
          <w:color w:val="auto"/>
          <w:spacing w:val="0"/>
          <w:sz w:val="32"/>
          <w:szCs w:val="32"/>
        </w:rPr>
      </w:pPr>
      <w:r>
        <w:rPr>
          <w:rFonts w:hint="eastAsia" w:ascii="Times New Roman" w:hAnsi="Times New Roman" w:cs="Times New Roman"/>
          <w:b/>
          <w:color w:val="auto"/>
          <w:spacing w:val="0"/>
          <w:sz w:val="32"/>
          <w:szCs w:val="32"/>
          <w:lang w:val="en-US" w:eastAsia="zh-CN"/>
        </w:rPr>
        <w:t xml:space="preserve">              </w:t>
      </w:r>
      <w:r>
        <w:rPr>
          <w:rFonts w:hint="default" w:ascii="Times New Roman" w:hAnsi="Times New Roman" w:cs="Times New Roman"/>
          <w:b/>
          <w:color w:val="auto"/>
          <w:spacing w:val="0"/>
          <w:sz w:val="32"/>
          <w:szCs w:val="32"/>
        </w:rPr>
        <w:t>联系人</w:t>
      </w:r>
      <w:r>
        <w:rPr>
          <w:rFonts w:hint="default" w:ascii="Times New Roman" w:hAnsi="Times New Roman" w:cs="Times New Roman"/>
          <w:color w:val="auto"/>
          <w:spacing w:val="0"/>
          <w:sz w:val="32"/>
          <w:szCs w:val="32"/>
        </w:rPr>
        <w:t>：王文娟、</w:t>
      </w:r>
      <w:r>
        <w:rPr>
          <w:rFonts w:hint="eastAsia" w:ascii="Times New Roman" w:hAnsi="Times New Roman" w:cs="Times New Roman"/>
          <w:color w:val="auto"/>
          <w:spacing w:val="0"/>
          <w:sz w:val="32"/>
          <w:szCs w:val="32"/>
          <w:lang w:val="en-US" w:eastAsia="zh-CN"/>
        </w:rPr>
        <w:t>韦雨</w:t>
      </w:r>
      <w:r>
        <w:rPr>
          <w:rFonts w:hint="default" w:ascii="Times New Roman" w:hAnsi="Times New Roman" w:cs="Times New Roman"/>
          <w:color w:val="auto"/>
          <w:spacing w:val="0"/>
          <w:sz w:val="32"/>
          <w:szCs w:val="32"/>
        </w:rPr>
        <w:t>；</w:t>
      </w:r>
      <w:r>
        <w:rPr>
          <w:rFonts w:hint="default" w:ascii="Times New Roman" w:hAnsi="Times New Roman" w:cs="Times New Roman"/>
          <w:b/>
          <w:color w:val="auto"/>
          <w:spacing w:val="0"/>
          <w:sz w:val="32"/>
          <w:szCs w:val="32"/>
        </w:rPr>
        <w:t>联系电话</w:t>
      </w:r>
      <w:r>
        <w:rPr>
          <w:rFonts w:hint="default" w:ascii="Times New Roman" w:hAnsi="Times New Roman" w:cs="Times New Roman"/>
          <w:color w:val="auto"/>
          <w:spacing w:val="0"/>
          <w:sz w:val="32"/>
          <w:szCs w:val="32"/>
        </w:rPr>
        <w:t>：</w:t>
      </w:r>
      <w:r>
        <w:rPr>
          <w:rFonts w:hint="default" w:ascii="Times New Roman" w:hAnsi="Times New Roman" w:eastAsia="Times New Roman" w:cs="Times New Roman"/>
          <w:color w:val="auto"/>
          <w:spacing w:val="0"/>
          <w:sz w:val="32"/>
          <w:szCs w:val="32"/>
        </w:rPr>
        <w:t>52988067</w:t>
      </w:r>
    </w:p>
    <w:p w14:paraId="0F63C078">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七、意见反馈：</w:t>
      </w:r>
    </w:p>
    <w:p w14:paraId="0199F251">
      <w:pPr>
        <w:pStyle w:val="6"/>
        <w:keepNext w:val="0"/>
        <w:keepLines w:val="0"/>
        <w:pageBreakBefore w:val="0"/>
        <w:widowControl w:val="0"/>
        <w:numPr>
          <w:ilvl w:val="0"/>
          <w:numId w:val="3"/>
        </w:numPr>
        <w:tabs>
          <w:tab w:val="left" w:pos="0"/>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若您需对该城乡规划方案发表意见，应在意见反馈期限届满前向重庆市开州区规划和自然资源局空间规划科提交书面意见，同时提供身份证明材料、联系方式。书面意见可当面提交，也可通过邮寄方式提交。以邮寄方式提交的，请在信封正面注明</w:t>
      </w:r>
      <w:r>
        <w:rPr>
          <w:rFonts w:hint="default" w:ascii="Times New Roman" w:hAnsi="Times New Roman" w:eastAsia="Times New Roman" w:cs="Times New Roman"/>
          <w:color w:val="auto"/>
          <w:spacing w:val="0"/>
          <w:sz w:val="32"/>
          <w:szCs w:val="32"/>
        </w:rPr>
        <w:t>“</w:t>
      </w:r>
      <w:r>
        <w:rPr>
          <w:rFonts w:hint="default" w:ascii="Times New Roman" w:hAnsi="Times New Roman" w:cs="Times New Roman"/>
          <w:color w:val="auto"/>
          <w:spacing w:val="0"/>
          <w:sz w:val="32"/>
          <w:szCs w:val="32"/>
        </w:rPr>
        <w:t>公示反馈意见</w:t>
      </w:r>
      <w:r>
        <w:rPr>
          <w:rFonts w:hint="default" w:ascii="Times New Roman" w:hAnsi="Times New Roman" w:eastAsia="Times New Roman" w:cs="Times New Roman"/>
          <w:color w:val="auto"/>
          <w:spacing w:val="0"/>
          <w:sz w:val="32"/>
          <w:szCs w:val="32"/>
        </w:rPr>
        <w:t>”</w:t>
      </w:r>
      <w:r>
        <w:rPr>
          <w:rFonts w:hint="default" w:ascii="Times New Roman" w:hAnsi="Times New Roman" w:cs="Times New Roman"/>
          <w:color w:val="auto"/>
          <w:spacing w:val="0"/>
          <w:sz w:val="32"/>
          <w:szCs w:val="32"/>
        </w:rPr>
        <w:t>字样，</w:t>
      </w:r>
    </w:p>
    <w:p w14:paraId="2C27D9F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提交时间以邮局收件邮戳载明的时间为准。</w:t>
      </w:r>
    </w:p>
    <w:p w14:paraId="78675D49">
      <w:pPr>
        <w:pStyle w:val="6"/>
        <w:keepNext w:val="0"/>
        <w:keepLines w:val="0"/>
        <w:pageBreakBefore w:val="0"/>
        <w:widowControl w:val="0"/>
        <w:numPr>
          <w:ilvl w:val="0"/>
          <w:numId w:val="3"/>
        </w:numPr>
        <w:tabs>
          <w:tab w:val="left" w:pos="0"/>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若您认为您是该城乡规划方案的利害关系人，在提交书面意见时，还应提供该城乡规划方案直接涉及您利益的证明材料。</w:t>
      </w:r>
    </w:p>
    <w:p w14:paraId="5B56C038">
      <w:pPr>
        <w:pStyle w:val="6"/>
        <w:keepNext w:val="0"/>
        <w:keepLines w:val="0"/>
        <w:pageBreakBefore w:val="0"/>
        <w:widowControl w:val="0"/>
        <w:numPr>
          <w:ilvl w:val="0"/>
          <w:numId w:val="3"/>
        </w:numPr>
        <w:tabs>
          <w:tab w:val="left" w:pos="0"/>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 xml:space="preserve">意见反馈期限截止至公示期届满后 </w:t>
      </w:r>
      <w:r>
        <w:rPr>
          <w:rFonts w:hint="default" w:ascii="Times New Roman" w:hAnsi="Times New Roman" w:eastAsia="Times New Roman" w:cs="Times New Roman"/>
          <w:color w:val="auto"/>
          <w:spacing w:val="0"/>
          <w:sz w:val="32"/>
          <w:szCs w:val="32"/>
        </w:rPr>
        <w:t xml:space="preserve">5 </w:t>
      </w:r>
      <w:r>
        <w:rPr>
          <w:rFonts w:hint="default" w:ascii="Times New Roman" w:hAnsi="Times New Roman" w:cs="Times New Roman"/>
          <w:color w:val="auto"/>
          <w:spacing w:val="0"/>
          <w:sz w:val="32"/>
          <w:szCs w:val="32"/>
        </w:rPr>
        <w:t>日内，未反馈意见的，视为放弃权利。</w:t>
      </w:r>
    </w:p>
    <w:p w14:paraId="732045AC">
      <w:pPr>
        <w:pStyle w:val="6"/>
        <w:keepNext w:val="0"/>
        <w:keepLines w:val="0"/>
        <w:pageBreakBefore w:val="0"/>
        <w:widowControl w:val="0"/>
        <w:numPr>
          <w:ilvl w:val="0"/>
          <w:numId w:val="3"/>
        </w:numPr>
        <w:tabs>
          <w:tab w:val="left" w:pos="0"/>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相关利害关系人可自公示期满之后 5 个工作日内，向重庆市开州区规划和自然资源局提出书面听证申请，并提交身份证明材料、直接涉及您利益的证明材料。逾期未提出的，视为自动放弃听证权利。</w:t>
      </w:r>
    </w:p>
    <w:p w14:paraId="360F277C">
      <w:pPr>
        <w:pStyle w:val="6"/>
        <w:keepNext w:val="0"/>
        <w:keepLines w:val="0"/>
        <w:pageBreakBefore w:val="0"/>
        <w:widowControl w:val="0"/>
        <w:numPr>
          <w:ilvl w:val="0"/>
          <w:numId w:val="3"/>
        </w:numPr>
        <w:tabs>
          <w:tab w:val="left" w:pos="0"/>
          <w:tab w:val="left" w:pos="889"/>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 xml:space="preserve">地址：重庆市开州区汉丰街道开州大道中段 </w:t>
      </w:r>
      <w:r>
        <w:rPr>
          <w:rFonts w:hint="default" w:ascii="Times New Roman" w:hAnsi="Times New Roman" w:eastAsia="Times New Roman" w:cs="Times New Roman"/>
          <w:color w:val="auto"/>
          <w:spacing w:val="0"/>
          <w:sz w:val="32"/>
          <w:szCs w:val="32"/>
        </w:rPr>
        <w:t xml:space="preserve">189 </w:t>
      </w:r>
      <w:r>
        <w:rPr>
          <w:rFonts w:hint="default" w:ascii="Times New Roman" w:hAnsi="Times New Roman" w:cs="Times New Roman"/>
          <w:color w:val="auto"/>
          <w:spacing w:val="0"/>
          <w:sz w:val="32"/>
          <w:szCs w:val="32"/>
        </w:rPr>
        <w:t xml:space="preserve">号 </w:t>
      </w:r>
      <w:r>
        <w:rPr>
          <w:rFonts w:hint="default" w:ascii="Times New Roman" w:hAnsi="Times New Roman" w:eastAsia="Times New Roman" w:cs="Times New Roman"/>
          <w:color w:val="auto"/>
          <w:spacing w:val="0"/>
          <w:sz w:val="32"/>
          <w:szCs w:val="32"/>
        </w:rPr>
        <w:t>709</w:t>
      </w:r>
      <w:r>
        <w:rPr>
          <w:rFonts w:hint="default" w:ascii="Times New Roman" w:hAnsi="Times New Roman" w:cs="Times New Roman"/>
          <w:color w:val="auto"/>
          <w:spacing w:val="0"/>
          <w:sz w:val="32"/>
          <w:szCs w:val="32"/>
        </w:rPr>
        <w:t>（空间规划科）</w:t>
      </w:r>
    </w:p>
    <w:p w14:paraId="0DF1D997">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880" w:firstLineChars="200"/>
        <w:textAlignment w:val="auto"/>
        <w:rPr>
          <w:rFonts w:hint="default" w:ascii="Times New Roman" w:hAnsi="Times New Roman" w:eastAsia="方正小标宋_GBK" w:cs="Times New Roman"/>
          <w:color w:val="auto"/>
          <w:spacing w:val="0"/>
          <w:sz w:val="44"/>
          <w:szCs w:val="44"/>
          <w:lang w:val="en-US" w:eastAsia="zh-CN" w:bidi="ar-SA"/>
        </w:rPr>
      </w:pPr>
      <w:r>
        <w:rPr>
          <w:rFonts w:hint="default" w:ascii="Times New Roman" w:hAnsi="Times New Roman" w:eastAsia="方正小标宋_GBK" w:cs="Times New Roman"/>
          <w:color w:val="auto"/>
          <w:spacing w:val="0"/>
          <w:sz w:val="44"/>
          <w:szCs w:val="44"/>
          <w:lang w:val="en-US" w:eastAsia="zh-CN" w:bidi="ar-SA"/>
        </w:rPr>
        <w:br w:type="page"/>
      </w:r>
    </w:p>
    <w:p w14:paraId="730F317B">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default" w:ascii="Times New Roman" w:hAnsi="Times New Roman" w:eastAsia="方正小标宋_GBK" w:cs="Times New Roman"/>
          <w:color w:val="auto"/>
          <w:spacing w:val="0"/>
          <w:sz w:val="44"/>
          <w:szCs w:val="44"/>
          <w:lang w:val="en-US" w:eastAsia="zh-CN" w:bidi="ar-SA"/>
        </w:rPr>
      </w:pPr>
      <w:r>
        <w:rPr>
          <w:rFonts w:hint="default" w:ascii="Times New Roman" w:hAnsi="Times New Roman" w:eastAsia="方正小标宋_GBK" w:cs="Times New Roman"/>
          <w:color w:val="auto"/>
          <w:spacing w:val="0"/>
          <w:sz w:val="44"/>
          <w:szCs w:val="44"/>
          <w:lang w:val="en-US" w:eastAsia="zh-CN" w:bidi="ar-SA"/>
        </w:rPr>
        <w:t>开州环湖城区周边“四面山”区域空间控制</w:t>
      </w:r>
    </w:p>
    <w:p w14:paraId="05F1BF3D">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default" w:ascii="Times New Roman" w:hAnsi="Times New Roman" w:eastAsia="方正小标宋_GBK" w:cs="Times New Roman"/>
          <w:color w:val="auto"/>
          <w:spacing w:val="0"/>
          <w:sz w:val="44"/>
          <w:szCs w:val="44"/>
          <w:lang w:val="en-US" w:eastAsia="zh-CN" w:bidi="ar-SA"/>
        </w:rPr>
      </w:pPr>
      <w:r>
        <w:rPr>
          <w:rFonts w:hint="default" w:ascii="Times New Roman" w:hAnsi="Times New Roman" w:eastAsia="方正小标宋_GBK" w:cs="Times New Roman"/>
          <w:color w:val="auto"/>
          <w:spacing w:val="0"/>
          <w:sz w:val="44"/>
          <w:szCs w:val="44"/>
          <w:lang w:val="en-US" w:eastAsia="zh-CN" w:bidi="ar-SA"/>
        </w:rPr>
        <w:t>规划优化调整</w:t>
      </w:r>
    </w:p>
    <w:p w14:paraId="291F573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一、规划范围</w:t>
      </w:r>
    </w:p>
    <w:p w14:paraId="11A5869E">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以汉丰湖为核心，东至文峰、丰乐与厚坝交界处，西至镇安南河与彭溪河交界处，南、北至环湖城区周边“四面山”第一道山脊线以下视线所及区域，总面积71.25平方公里，其中：</w:t>
      </w:r>
      <w:r>
        <w:rPr>
          <w:rFonts w:hint="eastAsia" w:ascii="Times New Roman" w:hAnsi="Times New Roman" w:cs="Times New Roman"/>
          <w:color w:val="auto"/>
          <w:spacing w:val="0"/>
          <w:sz w:val="32"/>
          <w:szCs w:val="32"/>
          <w:lang w:eastAsia="zh-CN"/>
        </w:rPr>
        <w:t>“</w:t>
      </w:r>
      <w:r>
        <w:rPr>
          <w:rFonts w:hint="eastAsia" w:ascii="Times New Roman" w:hAnsi="Times New Roman" w:cs="Times New Roman"/>
          <w:color w:val="auto"/>
          <w:spacing w:val="0"/>
          <w:sz w:val="32"/>
          <w:szCs w:val="32"/>
        </w:rPr>
        <w:t>四面山</w:t>
      </w:r>
      <w:r>
        <w:rPr>
          <w:rFonts w:hint="eastAsia" w:ascii="Times New Roman" w:hAnsi="Times New Roman" w:cs="Times New Roman"/>
          <w:color w:val="auto"/>
          <w:spacing w:val="0"/>
          <w:sz w:val="32"/>
          <w:szCs w:val="32"/>
          <w:lang w:eastAsia="zh-CN"/>
        </w:rPr>
        <w:t>”建设控制区面积</w:t>
      </w:r>
      <w:r>
        <w:rPr>
          <w:rFonts w:hint="default" w:ascii="Times New Roman" w:hAnsi="Times New Roman" w:cs="Times New Roman"/>
          <w:color w:val="auto"/>
          <w:spacing w:val="0"/>
          <w:sz w:val="32"/>
          <w:szCs w:val="32"/>
        </w:rPr>
        <w:t>29.</w:t>
      </w:r>
      <w:r>
        <w:rPr>
          <w:rFonts w:hint="default" w:ascii="Times New Roman" w:hAnsi="Times New Roman" w:cs="Times New Roman"/>
          <w:color w:val="auto"/>
          <w:spacing w:val="0"/>
          <w:sz w:val="32"/>
          <w:szCs w:val="32"/>
          <w:lang w:val="en-US" w:eastAsia="zh-CN"/>
        </w:rPr>
        <w:t>72</w:t>
      </w:r>
      <w:r>
        <w:rPr>
          <w:rFonts w:hint="default" w:ascii="Times New Roman" w:hAnsi="Times New Roman" w:eastAsia="方正仿宋_GBK" w:cs="Times New Roman"/>
          <w:color w:val="auto"/>
          <w:spacing w:val="0"/>
          <w:sz w:val="32"/>
          <w:szCs w:val="32"/>
          <w:lang w:val="en-US" w:eastAsia="zh-CN" w:bidi="ar-SA"/>
        </w:rPr>
        <w:t>平方公里</w:t>
      </w:r>
      <w:r>
        <w:rPr>
          <w:rFonts w:hint="default" w:ascii="Times New Roman" w:hAnsi="Times New Roman" w:cs="Times New Roman"/>
          <w:color w:val="auto"/>
          <w:spacing w:val="0"/>
          <w:sz w:val="32"/>
          <w:szCs w:val="32"/>
        </w:rPr>
        <w:t>，</w:t>
      </w:r>
      <w:r>
        <w:rPr>
          <w:rFonts w:hint="eastAsia" w:ascii="Times New Roman" w:hAnsi="Times New Roman" w:cs="Times New Roman"/>
          <w:color w:val="auto"/>
          <w:spacing w:val="0"/>
          <w:sz w:val="32"/>
          <w:szCs w:val="32"/>
        </w:rPr>
        <w:t>城市</w:t>
      </w:r>
      <w:r>
        <w:rPr>
          <w:rFonts w:hint="eastAsia" w:ascii="Times New Roman" w:hAnsi="Times New Roman" w:cs="Times New Roman"/>
          <w:color w:val="auto"/>
          <w:spacing w:val="0"/>
          <w:sz w:val="32"/>
          <w:szCs w:val="32"/>
          <w:lang w:eastAsia="zh-CN"/>
        </w:rPr>
        <w:t>建设区</w:t>
      </w:r>
      <w:r>
        <w:rPr>
          <w:rFonts w:hint="default" w:ascii="Times New Roman" w:hAnsi="Times New Roman" w:cs="Times New Roman"/>
          <w:color w:val="auto"/>
          <w:spacing w:val="0"/>
          <w:sz w:val="32"/>
          <w:szCs w:val="32"/>
        </w:rPr>
        <w:t>面积2</w:t>
      </w:r>
      <w:r>
        <w:rPr>
          <w:rFonts w:hint="default" w:ascii="Times New Roman" w:hAnsi="Times New Roman" w:cs="Times New Roman"/>
          <w:color w:val="auto"/>
          <w:spacing w:val="0"/>
          <w:sz w:val="32"/>
          <w:szCs w:val="32"/>
          <w:lang w:val="en-US" w:eastAsia="zh-CN"/>
        </w:rPr>
        <w:t>4.50</w:t>
      </w:r>
      <w:r>
        <w:rPr>
          <w:rFonts w:hint="default" w:ascii="Times New Roman" w:hAnsi="Times New Roman" w:eastAsia="方正仿宋_GBK" w:cs="Times New Roman"/>
          <w:color w:val="auto"/>
          <w:spacing w:val="0"/>
          <w:sz w:val="32"/>
          <w:szCs w:val="32"/>
          <w:lang w:val="en-US" w:eastAsia="zh-CN" w:bidi="ar-SA"/>
        </w:rPr>
        <w:t>平方公里</w:t>
      </w:r>
      <w:r>
        <w:rPr>
          <w:rFonts w:hint="default" w:ascii="Times New Roman" w:hAnsi="Times New Roman" w:cs="Times New Roman"/>
          <w:color w:val="auto"/>
          <w:spacing w:val="0"/>
          <w:sz w:val="32"/>
          <w:szCs w:val="32"/>
        </w:rPr>
        <w:t>，统筹储备区面积</w:t>
      </w:r>
      <w:r>
        <w:rPr>
          <w:rFonts w:hint="default" w:ascii="Times New Roman" w:hAnsi="Times New Roman" w:cs="Times New Roman"/>
          <w:color w:val="auto"/>
          <w:spacing w:val="0"/>
          <w:sz w:val="32"/>
          <w:szCs w:val="32"/>
          <w:lang w:val="en-US" w:eastAsia="zh-CN"/>
        </w:rPr>
        <w:t>5.45</w:t>
      </w:r>
      <w:r>
        <w:rPr>
          <w:rFonts w:hint="default" w:ascii="Times New Roman" w:hAnsi="Times New Roman" w:eastAsia="方正仿宋_GBK" w:cs="Times New Roman"/>
          <w:color w:val="auto"/>
          <w:spacing w:val="0"/>
          <w:sz w:val="32"/>
          <w:szCs w:val="32"/>
          <w:lang w:val="en-US" w:eastAsia="zh-CN" w:bidi="ar-SA"/>
        </w:rPr>
        <w:t>平方公里</w:t>
      </w:r>
      <w:r>
        <w:rPr>
          <w:rFonts w:hint="default" w:ascii="Times New Roman" w:hAnsi="Times New Roman" w:cs="Times New Roman"/>
          <w:color w:val="auto"/>
          <w:spacing w:val="0"/>
          <w:sz w:val="32"/>
          <w:szCs w:val="32"/>
        </w:rPr>
        <w:t>，水域</w:t>
      </w:r>
      <w:r>
        <w:rPr>
          <w:rFonts w:hint="eastAsia" w:ascii="Times New Roman" w:hAnsi="Times New Roman" w:cs="Times New Roman"/>
          <w:color w:val="auto"/>
          <w:spacing w:val="0"/>
          <w:sz w:val="32"/>
          <w:szCs w:val="32"/>
          <w:lang w:eastAsia="zh-CN"/>
        </w:rPr>
        <w:t>面积</w:t>
      </w:r>
      <w:r>
        <w:rPr>
          <w:rFonts w:hint="default" w:ascii="Times New Roman" w:hAnsi="Times New Roman" w:cs="Times New Roman"/>
          <w:color w:val="auto"/>
          <w:spacing w:val="0"/>
          <w:sz w:val="32"/>
          <w:szCs w:val="32"/>
        </w:rPr>
        <w:t>约11.</w:t>
      </w:r>
      <w:r>
        <w:rPr>
          <w:rFonts w:hint="default" w:ascii="Times New Roman" w:hAnsi="Times New Roman" w:cs="Times New Roman"/>
          <w:color w:val="auto"/>
          <w:spacing w:val="0"/>
          <w:sz w:val="32"/>
          <w:szCs w:val="32"/>
          <w:lang w:val="en-US" w:eastAsia="zh-CN"/>
        </w:rPr>
        <w:t>58</w:t>
      </w:r>
      <w:r>
        <w:rPr>
          <w:rFonts w:hint="default" w:ascii="Times New Roman" w:hAnsi="Times New Roman" w:eastAsia="方正仿宋_GBK" w:cs="Times New Roman"/>
          <w:color w:val="auto"/>
          <w:spacing w:val="0"/>
          <w:sz w:val="32"/>
          <w:szCs w:val="32"/>
          <w:lang w:val="en-US" w:eastAsia="zh-CN" w:bidi="ar-SA"/>
        </w:rPr>
        <w:t>平方公里</w:t>
      </w:r>
      <w:r>
        <w:rPr>
          <w:rFonts w:hint="default" w:ascii="Times New Roman" w:hAnsi="Times New Roman" w:cs="Times New Roman"/>
          <w:color w:val="auto"/>
          <w:spacing w:val="0"/>
          <w:sz w:val="32"/>
          <w:szCs w:val="32"/>
        </w:rPr>
        <w:t>。</w:t>
      </w:r>
    </w:p>
    <w:p w14:paraId="56840A96">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二、规划目标</w:t>
      </w:r>
    </w:p>
    <w:p w14:paraId="4BA02892">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围绕建设“一极两大三区”现代化新开州目标，将“四面山”塑造为“湖光山色、生机盎然”的生态景观幕布。</w:t>
      </w:r>
    </w:p>
    <w:p w14:paraId="38979083">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、空间管控规划</w:t>
      </w:r>
    </w:p>
    <w:p w14:paraId="0BBE4C78">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方正楷体_GBK" w:cs="Times New Roman"/>
          <w:color w:val="auto"/>
          <w:spacing w:val="0"/>
          <w:sz w:val="32"/>
          <w:szCs w:val="32"/>
        </w:rPr>
      </w:pPr>
      <w:r>
        <w:rPr>
          <w:rFonts w:hint="default" w:ascii="Times New Roman" w:hAnsi="Times New Roman" w:eastAsia="方正楷体_GBK" w:cs="Times New Roman"/>
          <w:color w:val="auto"/>
          <w:spacing w:val="0"/>
          <w:sz w:val="32"/>
          <w:szCs w:val="32"/>
        </w:rPr>
        <w:t>（一）管控分区划定</w:t>
      </w:r>
      <w:bookmarkStart w:id="0" w:name="_GoBack"/>
      <w:bookmarkEnd w:id="0"/>
    </w:p>
    <w:p w14:paraId="07F4D7FC">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依据视线敏感性和用地适宜性将开州环湖城区周边“四面山”</w:t>
      </w:r>
      <w:r>
        <w:rPr>
          <w:rFonts w:hint="eastAsia" w:ascii="Times New Roman" w:hAnsi="Times New Roman" w:eastAsia="方正仿宋_GBK" w:cs="Times New Roman"/>
          <w:color w:val="auto"/>
          <w:spacing w:val="0"/>
          <w:sz w:val="32"/>
          <w:szCs w:val="32"/>
          <w:lang w:val="en-US" w:eastAsia="zh-CN" w:bidi="ar-SA"/>
        </w:rPr>
        <w:t>建设控制区</w:t>
      </w:r>
      <w:r>
        <w:rPr>
          <w:rFonts w:hint="default" w:ascii="Times New Roman" w:hAnsi="Times New Roman" w:eastAsia="方正仿宋_GBK" w:cs="Times New Roman"/>
          <w:color w:val="auto"/>
          <w:spacing w:val="0"/>
          <w:sz w:val="32"/>
          <w:szCs w:val="32"/>
          <w:lang w:val="en-US" w:eastAsia="zh-CN" w:bidi="ar-SA"/>
        </w:rPr>
        <w:t>划分为禁建区与限建区，其中限建区根据保护与建设的实际要求细</w:t>
      </w:r>
      <w:r>
        <w:rPr>
          <w:rFonts w:hint="default" w:ascii="Times New Roman" w:hAnsi="Times New Roman" w:cs="Times New Roman"/>
          <w:color w:val="auto"/>
          <w:spacing w:val="0"/>
          <w:sz w:val="32"/>
          <w:szCs w:val="32"/>
          <w:lang w:val="en-US" w:eastAsia="zh-CN" w:bidi="ar-SA"/>
        </w:rPr>
        <w:t>分</w:t>
      </w:r>
      <w:r>
        <w:rPr>
          <w:rFonts w:hint="default" w:ascii="Times New Roman" w:hAnsi="Times New Roman" w:eastAsia="方正仿宋_GBK" w:cs="Times New Roman"/>
          <w:color w:val="auto"/>
          <w:spacing w:val="0"/>
          <w:sz w:val="32"/>
          <w:szCs w:val="32"/>
          <w:lang w:val="en-US" w:eastAsia="zh-CN" w:bidi="ar-SA"/>
        </w:rPr>
        <w:t>为重点控建区和一般控建区。</w:t>
      </w:r>
    </w:p>
    <w:p w14:paraId="6523E931">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“四面山”</w:t>
      </w:r>
      <w:r>
        <w:rPr>
          <w:rFonts w:hint="eastAsia" w:ascii="Times New Roman" w:hAnsi="Times New Roman" w:eastAsia="方正仿宋_GBK" w:cs="Times New Roman"/>
          <w:color w:val="auto"/>
          <w:spacing w:val="0"/>
          <w:sz w:val="32"/>
          <w:szCs w:val="32"/>
          <w:lang w:val="en-US" w:eastAsia="zh-CN" w:bidi="ar-SA"/>
        </w:rPr>
        <w:t>建设控制区</w:t>
      </w:r>
      <w:r>
        <w:rPr>
          <w:rFonts w:hint="default" w:ascii="Times New Roman" w:hAnsi="Times New Roman" w:eastAsia="方正仿宋_GBK" w:cs="Times New Roman"/>
          <w:color w:val="auto"/>
          <w:spacing w:val="0"/>
          <w:sz w:val="32"/>
          <w:szCs w:val="32"/>
          <w:lang w:val="en-US" w:eastAsia="zh-CN" w:bidi="ar-SA"/>
        </w:rPr>
        <w:t>总面积2972.33公顷，其中禁建区</w:t>
      </w:r>
      <w:r>
        <w:rPr>
          <w:rFonts w:hint="default" w:ascii="Times New Roman" w:hAnsi="Times New Roman" w:cs="Times New Roman"/>
          <w:color w:val="auto"/>
          <w:spacing w:val="0"/>
          <w:sz w:val="32"/>
          <w:szCs w:val="32"/>
          <w:lang w:val="en-US" w:eastAsia="zh-CN" w:bidi="ar-SA"/>
        </w:rPr>
        <w:t>2940.44</w:t>
      </w:r>
      <w:r>
        <w:rPr>
          <w:rFonts w:hint="default" w:ascii="Times New Roman" w:hAnsi="Times New Roman" w:eastAsia="方正仿宋_GBK" w:cs="Times New Roman"/>
          <w:color w:val="auto"/>
          <w:spacing w:val="0"/>
          <w:sz w:val="32"/>
          <w:szCs w:val="32"/>
          <w:lang w:val="en-US" w:eastAsia="zh-CN" w:bidi="ar-SA"/>
        </w:rPr>
        <w:t>公顷，重点控建区10.08公顷，一般控建区</w:t>
      </w:r>
      <w:r>
        <w:rPr>
          <w:rFonts w:hint="default" w:ascii="Times New Roman" w:hAnsi="Times New Roman" w:cs="Times New Roman"/>
          <w:color w:val="auto"/>
          <w:spacing w:val="0"/>
          <w:sz w:val="32"/>
          <w:szCs w:val="32"/>
          <w:lang w:val="en-US" w:eastAsia="zh-CN" w:bidi="ar-SA"/>
        </w:rPr>
        <w:t>21.81</w:t>
      </w:r>
      <w:r>
        <w:rPr>
          <w:rFonts w:hint="default" w:ascii="Times New Roman" w:hAnsi="Times New Roman" w:eastAsia="方正仿宋_GBK" w:cs="Times New Roman"/>
          <w:color w:val="auto"/>
          <w:spacing w:val="0"/>
          <w:sz w:val="32"/>
          <w:szCs w:val="32"/>
          <w:lang w:val="en-US" w:eastAsia="zh-CN" w:bidi="ar-SA"/>
        </w:rPr>
        <w:t>公顷。</w:t>
      </w:r>
    </w:p>
    <w:p w14:paraId="266E68BF">
      <w:pPr>
        <w:pStyle w:val="3"/>
        <w:keepNext w:val="0"/>
        <w:keepLines w:val="0"/>
        <w:pageBreakBefore w:val="0"/>
        <w:widowControl w:val="0"/>
        <w:numPr>
          <w:ilvl w:val="0"/>
          <w:numId w:val="4"/>
        </w:numPr>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方正楷体_GBK" w:cs="Times New Roman"/>
          <w:color w:val="auto"/>
          <w:spacing w:val="0"/>
          <w:sz w:val="32"/>
          <w:szCs w:val="32"/>
        </w:rPr>
      </w:pPr>
      <w:r>
        <w:rPr>
          <w:rFonts w:hint="default" w:ascii="Times New Roman" w:hAnsi="Times New Roman" w:eastAsia="方正楷体_GBK" w:cs="Times New Roman"/>
          <w:color w:val="auto"/>
          <w:spacing w:val="0"/>
          <w:sz w:val="32"/>
          <w:szCs w:val="32"/>
        </w:rPr>
        <w:t>建设控制要求</w:t>
      </w:r>
    </w:p>
    <w:p w14:paraId="35F32DB0">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禁建区内禁止各类开发建设活动，但下列活动除外：</w:t>
      </w:r>
    </w:p>
    <w:p w14:paraId="04F325A3">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排危抢险和灾后重建；</w:t>
      </w:r>
    </w:p>
    <w:p w14:paraId="7A0FE84D">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现有合法农房解危改造和必要的风貌改造；</w:t>
      </w:r>
    </w:p>
    <w:p w14:paraId="1EAD5784">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道路、铁路、码头、桥梁、电力通信线路、输气（油） 管道、水利工程等基础设施及其必要的附属设施建设；</w:t>
      </w:r>
    </w:p>
    <w:p w14:paraId="38E2E0C0">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军事设施建设；</w:t>
      </w:r>
    </w:p>
    <w:p w14:paraId="358B10E2">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公益性项目建设；</w:t>
      </w:r>
    </w:p>
    <w:p w14:paraId="485DB0F9">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因生态环境保护、风景名胜资源保护、文物保护需要进行的建设。</w:t>
      </w:r>
    </w:p>
    <w:p w14:paraId="42C19D40">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重点控建区内禁止下列开发建设活动：</w:t>
      </w:r>
    </w:p>
    <w:p w14:paraId="55860A1B">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开山、采石、开矿（已依法取得采矿许可的除外）；</w:t>
      </w:r>
    </w:p>
    <w:p w14:paraId="15BCEA1A">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住宅类房地产开发；</w:t>
      </w:r>
    </w:p>
    <w:p w14:paraId="6B0311B2">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新建、扩建工业项目；</w:t>
      </w:r>
    </w:p>
    <w:p w14:paraId="5FA3F99C">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新建、改建、扩建坟墓；</w:t>
      </w:r>
    </w:p>
    <w:p w14:paraId="42738DAD">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破坏生态环境和自然景观的其他开发建设活动；</w:t>
      </w:r>
    </w:p>
    <w:p w14:paraId="11EF219C">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560" w:lineRule="exact"/>
        <w:ind w:left="0" w:leftChars="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重点控建区内涉及的建设项目必须按程序进行审批</w:t>
      </w:r>
      <w:r>
        <w:rPr>
          <w:rFonts w:hint="default" w:ascii="Times New Roman" w:hAnsi="Times New Roman" w:cs="Times New Roman"/>
          <w:color w:val="auto"/>
          <w:spacing w:val="0"/>
          <w:sz w:val="32"/>
          <w:szCs w:val="32"/>
          <w:lang w:val="en-US" w:eastAsia="zh-CN" w:bidi="ar-SA"/>
        </w:rPr>
        <w:t>。</w:t>
      </w:r>
    </w:p>
    <w:p w14:paraId="31B31856">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right="0" w:rightChars="0" w:firstLine="640" w:firstLineChars="200"/>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一般控建区内的建设活动应按程序进行审批，允许居民自用住宅原址重建、散居居民择址集中新建及符合美丽乡村建设的旅游项目，禁止进行破坏生态环境和自然景观的建设活动。</w:t>
      </w:r>
    </w:p>
    <w:p w14:paraId="11D4D98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540"/>
        <w:textAlignment w:val="auto"/>
        <w:rPr>
          <w:rFonts w:hint="eastAsia" w:ascii="方正楷体_GBK" w:eastAsia="方正楷体_GBK"/>
          <w:color w:val="auto"/>
          <w:spacing w:val="0"/>
        </w:rPr>
      </w:pPr>
    </w:p>
    <w:p w14:paraId="2A39844B">
      <w:pPr>
        <w:rPr>
          <w:rFonts w:hint="eastAsia" w:ascii="方正仿宋_GBK" w:hAnsi="方正仿宋_GBK" w:eastAsia="方正仿宋_GBK" w:cs="方正仿宋_GBK"/>
          <w:color w:val="auto"/>
          <w:spacing w:val="0"/>
          <w:sz w:val="28"/>
          <w:szCs w:val="28"/>
          <w:lang w:val="en-US" w:eastAsia="zh-CN" w:bidi="ar-SA"/>
        </w:rPr>
      </w:pPr>
      <w:r>
        <w:rPr>
          <w:rFonts w:hint="eastAsia" w:ascii="方正仿宋_GBK" w:hAnsi="方正仿宋_GBK" w:eastAsia="方正仿宋_GBK" w:cs="方正仿宋_GBK"/>
          <w:color w:val="auto"/>
          <w:spacing w:val="0"/>
          <w:sz w:val="28"/>
          <w:szCs w:val="28"/>
          <w:lang w:val="en-US" w:eastAsia="zh-CN" w:bidi="ar-SA"/>
        </w:rPr>
        <w:br w:type="page"/>
      </w:r>
    </w:p>
    <w:p w14:paraId="339DFD85">
      <w:pPr>
        <w:jc w:val="left"/>
        <w:rPr>
          <w:rFonts w:hint="eastAsia" w:ascii="方正小标宋_GBK" w:hAnsi="方正小标宋_GBK" w:eastAsia="方正小标宋_GBK" w:cs="方正小标宋_GBK"/>
          <w:color w:val="auto"/>
          <w:spacing w:val="0"/>
          <w:sz w:val="44"/>
          <w:szCs w:val="44"/>
          <w:lang w:val="en-US" w:eastAsia="zh-CN" w:bidi="ar-SA"/>
        </w:rPr>
      </w:pPr>
      <w:r>
        <w:rPr>
          <w:rFonts w:hint="eastAsia" w:ascii="方正小标宋_GBK" w:hAnsi="方正小标宋_GBK" w:eastAsia="方正小标宋_GBK" w:cs="方正小标宋_GBK"/>
          <w:color w:val="auto"/>
          <w:spacing w:val="0"/>
          <w:sz w:val="44"/>
          <w:szCs w:val="44"/>
          <w:lang w:val="en-US" w:eastAsia="zh-CN" w:bidi="ar-SA"/>
        </w:rPr>
        <w:drawing>
          <wp:inline distT="0" distB="0" distL="114300" distR="114300">
            <wp:extent cx="5535930" cy="3915410"/>
            <wp:effectExtent l="0" t="0" r="7620" b="8890"/>
            <wp:docPr id="3" name="图片 3" descr="03规划范围及界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规划范围及界线图"/>
                    <pic:cNvPicPr>
                      <a:picLocks noChangeAspect="1"/>
                    </pic:cNvPicPr>
                  </pic:nvPicPr>
                  <pic:blipFill>
                    <a:blip r:embed="rId6"/>
                    <a:stretch>
                      <a:fillRect/>
                    </a:stretch>
                  </pic:blipFill>
                  <pic:spPr>
                    <a:xfrm>
                      <a:off x="0" y="0"/>
                      <a:ext cx="5535930" cy="3915410"/>
                    </a:xfrm>
                    <a:prstGeom prst="rect">
                      <a:avLst/>
                    </a:prstGeom>
                  </pic:spPr>
                </pic:pic>
              </a:graphicData>
            </a:graphic>
          </wp:inline>
        </w:drawing>
      </w:r>
    </w:p>
    <w:p w14:paraId="1D119B29">
      <w:pPr>
        <w:jc w:val="left"/>
        <w:rPr>
          <w:rFonts w:hint="eastAsia" w:ascii="方正小标宋_GBK" w:hAnsi="方正小标宋_GBK" w:eastAsia="方正小标宋_GBK" w:cs="方正小标宋_GBK"/>
          <w:color w:val="auto"/>
          <w:spacing w:val="0"/>
          <w:sz w:val="44"/>
          <w:szCs w:val="44"/>
          <w:lang w:val="en-US" w:eastAsia="zh-CN" w:bidi="ar-SA"/>
        </w:rPr>
      </w:pPr>
      <w:r>
        <w:rPr>
          <w:rFonts w:hint="eastAsia" w:ascii="方正小标宋_GBK" w:hAnsi="方正小标宋_GBK" w:eastAsia="方正小标宋_GBK" w:cs="方正小标宋_GBK"/>
          <w:color w:val="auto"/>
          <w:spacing w:val="0"/>
          <w:sz w:val="44"/>
          <w:szCs w:val="44"/>
          <w:lang w:val="en-US" w:eastAsia="zh-CN" w:bidi="ar-SA"/>
        </w:rPr>
        <w:drawing>
          <wp:inline distT="0" distB="0" distL="114300" distR="114300">
            <wp:extent cx="5545455" cy="3921760"/>
            <wp:effectExtent l="0" t="0" r="17145" b="2540"/>
            <wp:docPr id="4" name="图片 4" descr="13空间控制分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空间控制分区图"/>
                    <pic:cNvPicPr>
                      <a:picLocks noChangeAspect="1"/>
                    </pic:cNvPicPr>
                  </pic:nvPicPr>
                  <pic:blipFill>
                    <a:blip r:embed="rId7"/>
                    <a:stretch>
                      <a:fillRect/>
                    </a:stretch>
                  </pic:blipFill>
                  <pic:spPr>
                    <a:xfrm>
                      <a:off x="0" y="0"/>
                      <a:ext cx="5545455" cy="3921760"/>
                    </a:xfrm>
                    <a:prstGeom prst="rect">
                      <a:avLst/>
                    </a:prstGeom>
                  </pic:spPr>
                </pic:pic>
              </a:graphicData>
            </a:graphic>
          </wp:inline>
        </w:drawing>
      </w:r>
    </w:p>
    <w:sectPr>
      <w:pgSz w:w="11906" w:h="16838"/>
      <w:pgMar w:top="2211" w:right="1446" w:bottom="1644" w:left="14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A2822"/>
    <w:multiLevelType w:val="singleLevel"/>
    <w:tmpl w:val="9D8A2822"/>
    <w:lvl w:ilvl="0" w:tentative="0">
      <w:start w:val="2"/>
      <w:numFmt w:val="chineseCounting"/>
      <w:suff w:val="nothing"/>
      <w:lvlText w:val="（%1）"/>
      <w:lvlJc w:val="left"/>
      <w:rPr>
        <w:rFonts w:hint="eastAsia"/>
      </w:rPr>
    </w:lvl>
  </w:abstractNum>
  <w:abstractNum w:abstractNumId="1">
    <w:nsid w:val="A75882A4"/>
    <w:multiLevelType w:val="multilevel"/>
    <w:tmpl w:val="A75882A4"/>
    <w:lvl w:ilvl="0" w:tentative="0">
      <w:start w:val="1"/>
      <w:numFmt w:val="decimal"/>
      <w:lvlText w:val="%1."/>
      <w:lvlJc w:val="left"/>
      <w:pPr>
        <w:ind w:left="892" w:hanging="213"/>
        <w:jc w:val="left"/>
      </w:pPr>
      <w:rPr>
        <w:rFonts w:hint="default" w:ascii="Times New Roman" w:hAnsi="Times New Roman" w:eastAsia="Times New Roman" w:cs="Times New Roman"/>
        <w:b w:val="0"/>
        <w:bCs w:val="0"/>
        <w:i w:val="0"/>
        <w:iCs w:val="0"/>
        <w:spacing w:val="0"/>
        <w:w w:val="100"/>
        <w:sz w:val="32"/>
        <w:szCs w:val="32"/>
        <w:lang w:val="en-US" w:eastAsia="zh-CN" w:bidi="ar-SA"/>
      </w:rPr>
    </w:lvl>
    <w:lvl w:ilvl="1" w:tentative="0">
      <w:start w:val="0"/>
      <w:numFmt w:val="bullet"/>
      <w:lvlText w:val="•"/>
      <w:lvlJc w:val="left"/>
      <w:pPr>
        <w:ind w:left="1676" w:hanging="213"/>
      </w:pPr>
      <w:rPr>
        <w:rFonts w:hint="default"/>
        <w:lang w:val="en-US" w:eastAsia="zh-CN" w:bidi="ar-SA"/>
      </w:rPr>
    </w:lvl>
    <w:lvl w:ilvl="2" w:tentative="0">
      <w:start w:val="0"/>
      <w:numFmt w:val="bullet"/>
      <w:lvlText w:val="•"/>
      <w:lvlJc w:val="left"/>
      <w:pPr>
        <w:ind w:left="2453" w:hanging="213"/>
      </w:pPr>
      <w:rPr>
        <w:rFonts w:hint="default"/>
        <w:lang w:val="en-US" w:eastAsia="zh-CN" w:bidi="ar-SA"/>
      </w:rPr>
    </w:lvl>
    <w:lvl w:ilvl="3" w:tentative="0">
      <w:start w:val="0"/>
      <w:numFmt w:val="bullet"/>
      <w:lvlText w:val="•"/>
      <w:lvlJc w:val="left"/>
      <w:pPr>
        <w:ind w:left="3229" w:hanging="213"/>
      </w:pPr>
      <w:rPr>
        <w:rFonts w:hint="default"/>
        <w:lang w:val="en-US" w:eastAsia="zh-CN" w:bidi="ar-SA"/>
      </w:rPr>
    </w:lvl>
    <w:lvl w:ilvl="4" w:tentative="0">
      <w:start w:val="0"/>
      <w:numFmt w:val="bullet"/>
      <w:lvlText w:val="•"/>
      <w:lvlJc w:val="left"/>
      <w:pPr>
        <w:ind w:left="4006" w:hanging="213"/>
      </w:pPr>
      <w:rPr>
        <w:rFonts w:hint="default"/>
        <w:lang w:val="en-US" w:eastAsia="zh-CN" w:bidi="ar-SA"/>
      </w:rPr>
    </w:lvl>
    <w:lvl w:ilvl="5" w:tentative="0">
      <w:start w:val="0"/>
      <w:numFmt w:val="bullet"/>
      <w:lvlText w:val="•"/>
      <w:lvlJc w:val="left"/>
      <w:pPr>
        <w:ind w:left="4783" w:hanging="213"/>
      </w:pPr>
      <w:rPr>
        <w:rFonts w:hint="default"/>
        <w:lang w:val="en-US" w:eastAsia="zh-CN" w:bidi="ar-SA"/>
      </w:rPr>
    </w:lvl>
    <w:lvl w:ilvl="6" w:tentative="0">
      <w:start w:val="0"/>
      <w:numFmt w:val="bullet"/>
      <w:lvlText w:val="•"/>
      <w:lvlJc w:val="left"/>
      <w:pPr>
        <w:ind w:left="5559" w:hanging="213"/>
      </w:pPr>
      <w:rPr>
        <w:rFonts w:hint="default"/>
        <w:lang w:val="en-US" w:eastAsia="zh-CN" w:bidi="ar-SA"/>
      </w:rPr>
    </w:lvl>
    <w:lvl w:ilvl="7" w:tentative="0">
      <w:start w:val="0"/>
      <w:numFmt w:val="bullet"/>
      <w:lvlText w:val="•"/>
      <w:lvlJc w:val="left"/>
      <w:pPr>
        <w:ind w:left="6336" w:hanging="213"/>
      </w:pPr>
      <w:rPr>
        <w:rFonts w:hint="default"/>
        <w:lang w:val="en-US" w:eastAsia="zh-CN" w:bidi="ar-SA"/>
      </w:rPr>
    </w:lvl>
    <w:lvl w:ilvl="8" w:tentative="0">
      <w:start w:val="0"/>
      <w:numFmt w:val="bullet"/>
      <w:lvlText w:val="•"/>
      <w:lvlJc w:val="left"/>
      <w:pPr>
        <w:ind w:left="7112" w:hanging="213"/>
      </w:pPr>
      <w:rPr>
        <w:rFonts w:hint="default"/>
        <w:lang w:val="en-US" w:eastAsia="zh-CN" w:bidi="ar-SA"/>
      </w:rPr>
    </w:lvl>
  </w:abstractNum>
  <w:abstractNum w:abstractNumId="2">
    <w:nsid w:val="B3BB4FEE"/>
    <w:multiLevelType w:val="singleLevel"/>
    <w:tmpl w:val="B3BB4FEE"/>
    <w:lvl w:ilvl="0" w:tentative="0">
      <w:start w:val="1"/>
      <w:numFmt w:val="decimal"/>
      <w:lvlText w:val="%1."/>
      <w:lvlJc w:val="left"/>
      <w:pPr>
        <w:tabs>
          <w:tab w:val="left" w:pos="420"/>
        </w:tabs>
        <w:ind w:left="845" w:hanging="425"/>
      </w:pPr>
      <w:rPr>
        <w:rFonts w:hint="default"/>
        <w:sz w:val="32"/>
        <w:szCs w:val="32"/>
      </w:rPr>
    </w:lvl>
  </w:abstractNum>
  <w:abstractNum w:abstractNumId="3">
    <w:nsid w:val="C7F25EB6"/>
    <w:multiLevelType w:val="multilevel"/>
    <w:tmpl w:val="C7F25EB6"/>
    <w:lvl w:ilvl="0" w:tentative="0">
      <w:start w:val="1"/>
      <w:numFmt w:val="decimal"/>
      <w:lvlText w:val="%1."/>
      <w:lvlJc w:val="left"/>
      <w:pPr>
        <w:ind w:left="892" w:hanging="213"/>
        <w:jc w:val="left"/>
      </w:pPr>
      <w:rPr>
        <w:rFonts w:hint="default" w:ascii="Times New Roman" w:hAnsi="Times New Roman" w:eastAsia="Times New Roman" w:cs="Times New Roman"/>
        <w:b w:val="0"/>
        <w:bCs w:val="0"/>
        <w:i w:val="0"/>
        <w:iCs w:val="0"/>
        <w:spacing w:val="0"/>
        <w:w w:val="100"/>
        <w:sz w:val="32"/>
        <w:szCs w:val="32"/>
        <w:lang w:val="en-US" w:eastAsia="zh-CN" w:bidi="ar-SA"/>
      </w:rPr>
    </w:lvl>
    <w:lvl w:ilvl="1" w:tentative="0">
      <w:start w:val="0"/>
      <w:numFmt w:val="bullet"/>
      <w:lvlText w:val="•"/>
      <w:lvlJc w:val="left"/>
      <w:pPr>
        <w:ind w:left="1676" w:hanging="213"/>
      </w:pPr>
      <w:rPr>
        <w:rFonts w:hint="default"/>
        <w:lang w:val="en-US" w:eastAsia="zh-CN" w:bidi="ar-SA"/>
      </w:rPr>
    </w:lvl>
    <w:lvl w:ilvl="2" w:tentative="0">
      <w:start w:val="0"/>
      <w:numFmt w:val="bullet"/>
      <w:lvlText w:val="•"/>
      <w:lvlJc w:val="left"/>
      <w:pPr>
        <w:ind w:left="2453" w:hanging="213"/>
      </w:pPr>
      <w:rPr>
        <w:rFonts w:hint="default"/>
        <w:lang w:val="en-US" w:eastAsia="zh-CN" w:bidi="ar-SA"/>
      </w:rPr>
    </w:lvl>
    <w:lvl w:ilvl="3" w:tentative="0">
      <w:start w:val="0"/>
      <w:numFmt w:val="bullet"/>
      <w:lvlText w:val="•"/>
      <w:lvlJc w:val="left"/>
      <w:pPr>
        <w:ind w:left="3229" w:hanging="213"/>
      </w:pPr>
      <w:rPr>
        <w:rFonts w:hint="default"/>
        <w:lang w:val="en-US" w:eastAsia="zh-CN" w:bidi="ar-SA"/>
      </w:rPr>
    </w:lvl>
    <w:lvl w:ilvl="4" w:tentative="0">
      <w:start w:val="0"/>
      <w:numFmt w:val="bullet"/>
      <w:lvlText w:val="•"/>
      <w:lvlJc w:val="left"/>
      <w:pPr>
        <w:ind w:left="4006" w:hanging="213"/>
      </w:pPr>
      <w:rPr>
        <w:rFonts w:hint="default"/>
        <w:lang w:val="en-US" w:eastAsia="zh-CN" w:bidi="ar-SA"/>
      </w:rPr>
    </w:lvl>
    <w:lvl w:ilvl="5" w:tentative="0">
      <w:start w:val="0"/>
      <w:numFmt w:val="bullet"/>
      <w:lvlText w:val="•"/>
      <w:lvlJc w:val="left"/>
      <w:pPr>
        <w:ind w:left="4783" w:hanging="213"/>
      </w:pPr>
      <w:rPr>
        <w:rFonts w:hint="default"/>
        <w:lang w:val="en-US" w:eastAsia="zh-CN" w:bidi="ar-SA"/>
      </w:rPr>
    </w:lvl>
    <w:lvl w:ilvl="6" w:tentative="0">
      <w:start w:val="0"/>
      <w:numFmt w:val="bullet"/>
      <w:lvlText w:val="•"/>
      <w:lvlJc w:val="left"/>
      <w:pPr>
        <w:ind w:left="5559" w:hanging="213"/>
      </w:pPr>
      <w:rPr>
        <w:rFonts w:hint="default"/>
        <w:lang w:val="en-US" w:eastAsia="zh-CN" w:bidi="ar-SA"/>
      </w:rPr>
    </w:lvl>
    <w:lvl w:ilvl="7" w:tentative="0">
      <w:start w:val="0"/>
      <w:numFmt w:val="bullet"/>
      <w:lvlText w:val="•"/>
      <w:lvlJc w:val="left"/>
      <w:pPr>
        <w:ind w:left="6336" w:hanging="213"/>
      </w:pPr>
      <w:rPr>
        <w:rFonts w:hint="default"/>
        <w:lang w:val="en-US" w:eastAsia="zh-CN" w:bidi="ar-SA"/>
      </w:rPr>
    </w:lvl>
    <w:lvl w:ilvl="8" w:tentative="0">
      <w:start w:val="0"/>
      <w:numFmt w:val="bullet"/>
      <w:lvlText w:val="•"/>
      <w:lvlJc w:val="left"/>
      <w:pPr>
        <w:ind w:left="7112" w:hanging="213"/>
      </w:pPr>
      <w:rPr>
        <w:rFonts w:hint="default"/>
        <w:lang w:val="en-US" w:eastAsia="zh-CN" w:bidi="ar-SA"/>
      </w:rPr>
    </w:lvl>
  </w:abstractNum>
  <w:abstractNum w:abstractNumId="4">
    <w:nsid w:val="0053208E"/>
    <w:multiLevelType w:val="multilevel"/>
    <w:tmpl w:val="0053208E"/>
    <w:lvl w:ilvl="0" w:tentative="0">
      <w:start w:val="1"/>
      <w:numFmt w:val="decimal"/>
      <w:lvlText w:val="%1."/>
      <w:lvlJc w:val="left"/>
      <w:pPr>
        <w:ind w:left="892" w:hanging="213"/>
        <w:jc w:val="left"/>
      </w:pPr>
      <w:rPr>
        <w:rFonts w:hint="default" w:ascii="Times New Roman" w:hAnsi="Times New Roman" w:eastAsia="Times New Roman" w:cs="Times New Roman"/>
        <w:b w:val="0"/>
        <w:bCs w:val="0"/>
        <w:i w:val="0"/>
        <w:iCs w:val="0"/>
        <w:spacing w:val="0"/>
        <w:w w:val="100"/>
        <w:sz w:val="32"/>
        <w:szCs w:val="32"/>
        <w:lang w:val="en-US" w:eastAsia="zh-CN" w:bidi="ar-SA"/>
      </w:rPr>
    </w:lvl>
    <w:lvl w:ilvl="1" w:tentative="0">
      <w:start w:val="0"/>
      <w:numFmt w:val="bullet"/>
      <w:lvlText w:val="•"/>
      <w:lvlJc w:val="left"/>
      <w:pPr>
        <w:ind w:left="1676" w:hanging="213"/>
      </w:pPr>
      <w:rPr>
        <w:rFonts w:hint="default"/>
        <w:lang w:val="en-US" w:eastAsia="zh-CN" w:bidi="ar-SA"/>
      </w:rPr>
    </w:lvl>
    <w:lvl w:ilvl="2" w:tentative="0">
      <w:start w:val="0"/>
      <w:numFmt w:val="bullet"/>
      <w:lvlText w:val="•"/>
      <w:lvlJc w:val="left"/>
      <w:pPr>
        <w:ind w:left="2453" w:hanging="213"/>
      </w:pPr>
      <w:rPr>
        <w:rFonts w:hint="default"/>
        <w:lang w:val="en-US" w:eastAsia="zh-CN" w:bidi="ar-SA"/>
      </w:rPr>
    </w:lvl>
    <w:lvl w:ilvl="3" w:tentative="0">
      <w:start w:val="0"/>
      <w:numFmt w:val="bullet"/>
      <w:lvlText w:val="•"/>
      <w:lvlJc w:val="left"/>
      <w:pPr>
        <w:ind w:left="3229" w:hanging="213"/>
      </w:pPr>
      <w:rPr>
        <w:rFonts w:hint="default"/>
        <w:lang w:val="en-US" w:eastAsia="zh-CN" w:bidi="ar-SA"/>
      </w:rPr>
    </w:lvl>
    <w:lvl w:ilvl="4" w:tentative="0">
      <w:start w:val="0"/>
      <w:numFmt w:val="bullet"/>
      <w:lvlText w:val="•"/>
      <w:lvlJc w:val="left"/>
      <w:pPr>
        <w:ind w:left="4006" w:hanging="213"/>
      </w:pPr>
      <w:rPr>
        <w:rFonts w:hint="default"/>
        <w:lang w:val="en-US" w:eastAsia="zh-CN" w:bidi="ar-SA"/>
      </w:rPr>
    </w:lvl>
    <w:lvl w:ilvl="5" w:tentative="0">
      <w:start w:val="0"/>
      <w:numFmt w:val="bullet"/>
      <w:lvlText w:val="•"/>
      <w:lvlJc w:val="left"/>
      <w:pPr>
        <w:ind w:left="4783" w:hanging="213"/>
      </w:pPr>
      <w:rPr>
        <w:rFonts w:hint="default"/>
        <w:lang w:val="en-US" w:eastAsia="zh-CN" w:bidi="ar-SA"/>
      </w:rPr>
    </w:lvl>
    <w:lvl w:ilvl="6" w:tentative="0">
      <w:start w:val="0"/>
      <w:numFmt w:val="bullet"/>
      <w:lvlText w:val="•"/>
      <w:lvlJc w:val="left"/>
      <w:pPr>
        <w:ind w:left="5559" w:hanging="213"/>
      </w:pPr>
      <w:rPr>
        <w:rFonts w:hint="default"/>
        <w:lang w:val="en-US" w:eastAsia="zh-CN" w:bidi="ar-SA"/>
      </w:rPr>
    </w:lvl>
    <w:lvl w:ilvl="7" w:tentative="0">
      <w:start w:val="0"/>
      <w:numFmt w:val="bullet"/>
      <w:lvlText w:val="•"/>
      <w:lvlJc w:val="left"/>
      <w:pPr>
        <w:ind w:left="6336" w:hanging="213"/>
      </w:pPr>
      <w:rPr>
        <w:rFonts w:hint="default"/>
        <w:lang w:val="en-US" w:eastAsia="zh-CN" w:bidi="ar-SA"/>
      </w:rPr>
    </w:lvl>
    <w:lvl w:ilvl="8" w:tentative="0">
      <w:start w:val="0"/>
      <w:numFmt w:val="bullet"/>
      <w:lvlText w:val="•"/>
      <w:lvlJc w:val="left"/>
      <w:pPr>
        <w:ind w:left="7112" w:hanging="213"/>
      </w:pPr>
      <w:rPr>
        <w:rFonts w:hint="default"/>
        <w:lang w:val="en-US" w:eastAsia="zh-CN" w:bidi="ar-SA"/>
      </w:rPr>
    </w:lvl>
  </w:abstractNum>
  <w:abstractNum w:abstractNumId="5">
    <w:nsid w:val="54407873"/>
    <w:multiLevelType w:val="singleLevel"/>
    <w:tmpl w:val="54407873"/>
    <w:lvl w:ilvl="0" w:tentative="0">
      <w:start w:val="1"/>
      <w:numFmt w:val="decimal"/>
      <w:lvlText w:val="%1."/>
      <w:lvlJc w:val="left"/>
      <w:pPr>
        <w:tabs>
          <w:tab w:val="left" w:pos="420"/>
        </w:tabs>
        <w:ind w:left="845" w:hanging="425"/>
      </w:pPr>
      <w:rPr>
        <w:rFonts w:hint="default"/>
        <w:sz w:val="32"/>
        <w:szCs w:val="32"/>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7C65"/>
    <w:rsid w:val="02E132C9"/>
    <w:rsid w:val="042F06F0"/>
    <w:rsid w:val="05CD5D86"/>
    <w:rsid w:val="071546AD"/>
    <w:rsid w:val="080E5A31"/>
    <w:rsid w:val="08D544C6"/>
    <w:rsid w:val="098B0432"/>
    <w:rsid w:val="0D851AF8"/>
    <w:rsid w:val="0DE508AE"/>
    <w:rsid w:val="13343535"/>
    <w:rsid w:val="2519439B"/>
    <w:rsid w:val="26A45299"/>
    <w:rsid w:val="2B8534D0"/>
    <w:rsid w:val="2ED30198"/>
    <w:rsid w:val="2F7A5472"/>
    <w:rsid w:val="2FB51A54"/>
    <w:rsid w:val="2FE71BF4"/>
    <w:rsid w:val="33535743"/>
    <w:rsid w:val="34894CC7"/>
    <w:rsid w:val="34CB6258"/>
    <w:rsid w:val="38D91DE6"/>
    <w:rsid w:val="3A5041CB"/>
    <w:rsid w:val="3BAE2447"/>
    <w:rsid w:val="3C7917EC"/>
    <w:rsid w:val="3D482D9A"/>
    <w:rsid w:val="42236491"/>
    <w:rsid w:val="44624871"/>
    <w:rsid w:val="45903168"/>
    <w:rsid w:val="4A7A2442"/>
    <w:rsid w:val="4DB925F1"/>
    <w:rsid w:val="4ECB3051"/>
    <w:rsid w:val="50B04082"/>
    <w:rsid w:val="55F71E53"/>
    <w:rsid w:val="56F06C03"/>
    <w:rsid w:val="58A95B45"/>
    <w:rsid w:val="58F04146"/>
    <w:rsid w:val="63D06CE8"/>
    <w:rsid w:val="64A41C09"/>
    <w:rsid w:val="64F93A4C"/>
    <w:rsid w:val="6C0A20DC"/>
    <w:rsid w:val="6C2C6791"/>
    <w:rsid w:val="6DE07122"/>
    <w:rsid w:val="70B33751"/>
    <w:rsid w:val="71772037"/>
    <w:rsid w:val="735956FC"/>
    <w:rsid w:val="74AB39A0"/>
    <w:rsid w:val="7538165F"/>
    <w:rsid w:val="77E67C40"/>
    <w:rsid w:val="7BDF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zh-CN" w:bidi="ar-SA"/>
    </w:rPr>
  </w:style>
  <w:style w:type="paragraph" w:styleId="2">
    <w:name w:val="heading 1"/>
    <w:basedOn w:val="1"/>
    <w:next w:val="1"/>
    <w:qFormat/>
    <w:uiPriority w:val="1"/>
    <w:pPr>
      <w:spacing w:before="1"/>
      <w:ind w:left="120"/>
      <w:outlineLvl w:val="1"/>
    </w:pPr>
    <w:rPr>
      <w:rFonts w:ascii="方正小标宋_GBK" w:hAnsi="方正小标宋_GBK" w:eastAsia="方正小标宋_GBK" w:cs="方正小标宋_GBK"/>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28"/>
      <w:szCs w:val="28"/>
      <w:lang w:val="en-US" w:eastAsia="zh-CN" w:bidi="ar-SA"/>
    </w:rPr>
  </w:style>
  <w:style w:type="paragraph" w:styleId="6">
    <w:name w:val="List Paragraph"/>
    <w:basedOn w:val="1"/>
    <w:qFormat/>
    <w:uiPriority w:val="1"/>
    <w:pPr>
      <w:spacing w:before="78"/>
      <w:ind w:left="120" w:firstLine="559"/>
    </w:pPr>
    <w:rPr>
      <w:rFonts w:ascii="方正仿宋_GBK" w:hAnsi="方正仿宋_GBK" w:eastAsia="方正仿宋_GBK" w:cs="方正仿宋_GBK"/>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1366</Words>
  <Characters>1433</Characters>
  <Lines>0</Lines>
  <Paragraphs>0</Paragraphs>
  <TotalTime>14</TotalTime>
  <ScaleCrop>false</ScaleCrop>
  <LinksUpToDate>false</LinksUpToDate>
  <CharactersWithSpaces>1456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2025-07-09T09:27:00Z</dcterms:created>
  <dc:creator>周科</dc:creator>
  <cp:lastModifiedBy>云潇</cp:lastModifiedBy>
  <cp:lastPrinted>2025-09-28T09:03:00Z</cp:lastPrinted>
  <dcterms:modified xsi:type="dcterms:W3CDTF">2025-09-29T09:56:16Z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AFF7BBD71EF64B129C42C7D7C704A095</vt:lpwstr>
  </property>
  <property fmtid="{D5CDD505-2E9C-101B-9397-08002B2CF9AE}" pid="4" name="KSOTemplateDocerSaveRecord">
    <vt:lpwstr>eyJoZGlkIjoiZWE0NjZjMjExNGUzNmFkMDc1MTc2OWM3OGVhODU2NjIiLCJ1c2VySWQiOiIxMTk3MTg0MDQxIn0=</vt:lpwstr>
  </property>
</Properties>
</file>