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600" w:hRule="atLeast"/>
          <w:jc w:val="center"/>
        </w:trPr>
        <w:tc>
          <w:tcPr>
            <w:tcW w:w="8833" w:type="dxa"/>
            <w:vAlign w:val="top"/>
          </w:tcPr>
          <w:p>
            <w:pPr>
              <w:spacing w:line="600" w:lineRule="exact"/>
              <w:rPr>
                <w:rFonts w:hint="default" w:ascii="Times New Roman" w:hAnsi="Times New Roman" w:cs="Times New Roman"/>
                <w:szCs w:val="32"/>
              </w:rPr>
            </w:pPr>
          </w:p>
        </w:tc>
      </w:tr>
      <w:tr>
        <w:tblPrEx>
          <w:tblLayout w:type="fixed"/>
          <w:tblCellMar>
            <w:top w:w="0" w:type="dxa"/>
            <w:left w:w="108" w:type="dxa"/>
            <w:bottom w:w="0" w:type="dxa"/>
            <w:right w:w="108" w:type="dxa"/>
          </w:tblCellMar>
        </w:tblPrEx>
        <w:trPr>
          <w:trHeight w:val="600" w:hRule="atLeast"/>
          <w:jc w:val="center"/>
        </w:trPr>
        <w:tc>
          <w:tcPr>
            <w:tcW w:w="8833" w:type="dxa"/>
            <w:vAlign w:val="top"/>
          </w:tcPr>
          <w:p>
            <w:pPr>
              <w:spacing w:line="600" w:lineRule="exact"/>
              <w:rPr>
                <w:rFonts w:hint="default" w:ascii="Times New Roman" w:hAnsi="Times New Roman" w:eastAsia="方正黑体_GBK" w:cs="Times New Roman"/>
                <w:szCs w:val="32"/>
              </w:rPr>
            </w:pPr>
          </w:p>
        </w:tc>
      </w:tr>
      <w:tr>
        <w:tblPrEx>
          <w:tblLayout w:type="fixed"/>
          <w:tblCellMar>
            <w:top w:w="0" w:type="dxa"/>
            <w:left w:w="108" w:type="dxa"/>
            <w:bottom w:w="0" w:type="dxa"/>
            <w:right w:w="108" w:type="dxa"/>
          </w:tblCellMar>
        </w:tblPrEx>
        <w:trPr>
          <w:trHeight w:val="851" w:hRule="exact"/>
          <w:jc w:val="center"/>
        </w:trPr>
        <w:tc>
          <w:tcPr>
            <w:tcW w:w="8833" w:type="dxa"/>
            <w:vAlign w:val="center"/>
          </w:tcPr>
          <w:p>
            <w:pPr>
              <w:jc w:val="center"/>
              <w:rPr>
                <w:rFonts w:hint="default" w:ascii="Times New Roman" w:hAnsi="Times New Roman" w:eastAsia="方正小标宋简体" w:cs="Times New Roman"/>
                <w:color w:val="FF0000"/>
                <w:w w:val="80"/>
              </w:rPr>
            </w:pPr>
          </w:p>
        </w:tc>
      </w:tr>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hint="default" w:ascii="Times New Roman" w:hAnsi="Times New Roman" w:eastAsia="方正小标宋_GBK" w:cs="Times New Roman"/>
                <w:b/>
                <w:color w:val="FF3300"/>
                <w:spacing w:val="-36"/>
                <w:w w:val="53"/>
                <w:sz w:val="128"/>
                <w:szCs w:val="128"/>
              </w:rPr>
            </w:pPr>
            <w:r>
              <w:rPr>
                <w:rFonts w:hint="default" w:ascii="Times New Roman" w:hAnsi="Times New Roman" w:eastAsia="方正小标宋_GBK" w:cs="Times New Roman"/>
                <w:b/>
                <w:color w:val="FF3300"/>
                <w:spacing w:val="-36"/>
                <w:w w:val="53"/>
                <w:sz w:val="128"/>
                <w:szCs w:val="128"/>
              </w:rPr>
              <w:t>中共重庆市开州区委宣传部文件</w:t>
            </w:r>
          </w:p>
        </w:tc>
      </w:tr>
      <w:tr>
        <w:tblPrEx>
          <w:tblLayout w:type="fixed"/>
          <w:tblCellMar>
            <w:top w:w="0" w:type="dxa"/>
            <w:left w:w="108" w:type="dxa"/>
            <w:bottom w:w="0" w:type="dxa"/>
            <w:right w:w="108" w:type="dxa"/>
          </w:tblCellMar>
        </w:tblPrEx>
        <w:trPr>
          <w:trHeight w:val="1361" w:hRule="exact"/>
          <w:jc w:val="center"/>
        </w:trPr>
        <w:tc>
          <w:tcPr>
            <w:tcW w:w="8833" w:type="dxa"/>
            <w:vAlign w:val="bottom"/>
          </w:tcPr>
          <w:p>
            <w:pPr>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开州委宣〔202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spacing w:line="540" w:lineRule="exact"/>
              <w:jc w:val="center"/>
              <w:rPr>
                <w:rFonts w:hint="default" w:ascii="Times New Roman" w:hAnsi="Times New Roman" w:cs="Times New Roman"/>
                <w:color w:val="FF3300"/>
                <w:sz w:val="52"/>
                <w:szCs w:val="52"/>
              </w:rPr>
            </w:pPr>
            <w:r>
              <w:rPr>
                <w:rFonts w:hint="default" w:ascii="Times New Roman" w:hAnsi="Times New Roman" w:cs="Times New Roman"/>
                <w:color w:val="FF3300"/>
                <w:sz w:val="52"/>
                <w:szCs w:val="52"/>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162560</wp:posOffset>
                      </wp:positionV>
                      <wp:extent cx="2598420" cy="0"/>
                      <wp:effectExtent l="0" t="13970" r="11430" b="24130"/>
                      <wp:wrapNone/>
                      <wp:docPr id="7" name="直接连接符 7"/>
                      <wp:cNvGraphicFramePr/>
                      <a:graphic xmlns:a="http://schemas.openxmlformats.org/drawingml/2006/main">
                        <a:graphicData uri="http://schemas.microsoft.com/office/word/2010/wordprocessingShape">
                          <wps:wsp>
                            <wps:cNvCnPr/>
                            <wps:spPr>
                              <a:xfrm>
                                <a:off x="0" y="0"/>
                                <a:ext cx="259842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2.35pt;margin-top:12.8pt;height:0pt;width:204.6pt;z-index:251660288;mso-width-relative:page;mso-height-relative:page;" filled="f" stroked="t" coordsize="21600,21600" o:gfxdata="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HpRCnYAAAACQEA&#10;AA8AAAAAAAAAAQAgAAAAIgAAAGRycy9kb3ducmV2LnhtbFBLAQIUABQAAAAIAIdO4kBSgx7G4QEA&#10;AKUDAAAOAAAAAAAAAAEAIAAAACcBAABkcnMvZTJvRG9jLnhtbFBLBQYAAAAABgAGAFkBAAB6BQAA&#10;AAA=&#10;">
                      <v:fill on="f" focussize="0,0"/>
                      <v:stroke weight="2.25pt" color="#FF0000" joinstyle="round"/>
                      <v:imagedata o:title=""/>
                      <o:lock v:ext="edit" aspectratio="f"/>
                    </v:line>
                  </w:pict>
                </mc:Fallback>
              </mc:AlternateContent>
            </w:r>
            <w:r>
              <w:rPr>
                <w:rFonts w:hint="default" w:ascii="Times New Roman" w:hAnsi="Times New Roman" w:cs="Times New Roman"/>
                <w:color w:val="FF3300"/>
                <w:sz w:val="52"/>
                <w:szCs w:val="5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173355</wp:posOffset>
                      </wp:positionV>
                      <wp:extent cx="2536190" cy="0"/>
                      <wp:effectExtent l="0" t="13970" r="16510" b="24130"/>
                      <wp:wrapNone/>
                      <wp:docPr id="2" name="直接连接符 2"/>
                      <wp:cNvGraphicFramePr/>
                      <a:graphic xmlns:a="http://schemas.openxmlformats.org/drawingml/2006/main">
                        <a:graphicData uri="http://schemas.microsoft.com/office/word/2010/wordprocessingShape">
                          <wps:wsp>
                            <wps:cNvCnPr/>
                            <wps:spPr>
                              <a:xfrm>
                                <a:off x="0" y="0"/>
                                <a:ext cx="253619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5pt;margin-top:13.65pt;height:0pt;width:199.7pt;z-index:251659264;mso-width-relative:page;mso-height-relative:page;" filled="f" stroked="t" coordsize="21600,21600" o:gfxdata="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CupvtYAAAAJAQAA&#10;DwAAAAAAAAABACAAAAAiAAAAZHJzL2Rvd25yZXYueG1sUEsBAhQAFAAAAAgAh07iQBEQjo3iAQAA&#10;pQMAAA4AAAAAAAAAAQAgAAAAJQEAAGRycy9lMm9Eb2MueG1sUEsFBgAAAAAGAAYAWQEAAHkFAAAA&#10;AA==&#10;">
                      <v:fill on="f" focussize="0,0"/>
                      <v:stroke weight="2.25pt" color="#FF0000" joinstyle="round"/>
                      <v:imagedata o:title=""/>
                      <o:lock v:ext="edit" aspectratio="f"/>
                    </v:line>
                  </w:pict>
                </mc:Fallback>
              </mc:AlternateContent>
            </w:r>
            <w:r>
              <w:rPr>
                <w:rFonts w:hint="default" w:ascii="Times New Roman" w:hAnsi="Times New Roman" w:eastAsia="方正小标宋_GBK" w:cs="Times New Roman"/>
                <w:b/>
                <w:color w:val="FF3300"/>
                <w:sz w:val="52"/>
                <w:szCs w:val="52"/>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jc w:val="both"/>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重庆市开州区党史研究中心</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eastAsia="方正小标宋_GBK"/>
          <w:sz w:val="36"/>
          <w:szCs w:val="36"/>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关于2024年部门预算情况公开的公告</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eastAsia="方正小标宋_GBK"/>
          <w:sz w:val="44"/>
          <w:szCs w:val="44"/>
        </w:rPr>
      </w:pP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jc w:val="left"/>
        <w:textAlignment w:val="auto"/>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重庆市开州区财政局</w:t>
      </w:r>
      <w:r>
        <w:rPr>
          <w:rFonts w:eastAsia="方正仿宋_GBK"/>
          <w:sz w:val="32"/>
          <w:szCs w:val="32"/>
        </w:rPr>
        <w:t>《关于批复2024年部门预算的通知》（</w:t>
      </w:r>
      <w:r>
        <w:rPr>
          <w:rFonts w:eastAsia="方正仿宋_GBK"/>
          <w:color w:val="000000"/>
          <w:sz w:val="32"/>
          <w:szCs w:val="32"/>
        </w:rPr>
        <w:t>开州财教发〔202</w:t>
      </w:r>
      <w:r>
        <w:rPr>
          <w:rFonts w:hint="eastAsia" w:eastAsia="方正仿宋_GBK"/>
          <w:color w:val="000000"/>
          <w:sz w:val="32"/>
          <w:szCs w:val="32"/>
        </w:rPr>
        <w:t>4</w:t>
      </w:r>
      <w:r>
        <w:rPr>
          <w:rFonts w:eastAsia="方正仿宋_GBK"/>
          <w:color w:val="000000"/>
          <w:sz w:val="32"/>
          <w:szCs w:val="32"/>
        </w:rPr>
        <w:t>〕7号</w:t>
      </w:r>
      <w:r>
        <w:rPr>
          <w:rFonts w:eastAsia="方正仿宋_GBK"/>
          <w:sz w:val="32"/>
          <w:szCs w:val="32"/>
        </w:rPr>
        <w:t>）,现将</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2024年部门预算批复情况公开如下：</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eastAsia" w:ascii="方正黑体_GBK" w:hAnsi="黑体" w:eastAsia="方正黑体_GBK" w:cs="仿宋_GB2312"/>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小标宋_GBK" w:eastAsia="方正小标宋_GBK"/>
          <w:sz w:val="44"/>
          <w:szCs w:val="44"/>
        </w:rPr>
      </w:pPr>
      <w:r>
        <w:rPr>
          <w:rFonts w:hint="eastAsia" w:ascii="方正小标宋_GBK" w:eastAsia="方正小标宋_GBK"/>
          <w:sz w:val="44"/>
          <w:szCs w:val="44"/>
        </w:rPr>
        <w:t>目    录</w:t>
      </w: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第一部分：2024年部门预算情况说明</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第二部分：2024年部门预算公开报表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表1、</w:t>
      </w:r>
      <w:r>
        <w:rPr>
          <w:rFonts w:hint="eastAsia" w:ascii="方正仿宋_GBK" w:hAnsi="方正仿宋_GBK" w:eastAsia="方正仿宋_GBK" w:cs="方正仿宋_GBK"/>
          <w:b w:val="0"/>
          <w:bCs w:val="0"/>
          <w:sz w:val="32"/>
          <w:szCs w:val="32"/>
          <w:lang w:val="en-US" w:eastAsia="zh-CN"/>
        </w:rPr>
        <w:t>重庆市开州区党史研究中心</w:t>
      </w:r>
      <w:r>
        <w:rPr>
          <w:rFonts w:hint="eastAsia" w:eastAsia="方正仿宋_GBK"/>
          <w:sz w:val="32"/>
          <w:szCs w:val="32"/>
        </w:rPr>
        <w:t>收支预算总表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表2、</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收入总表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表3、</w:t>
      </w:r>
      <w:r>
        <w:rPr>
          <w:rFonts w:hint="eastAsia" w:ascii="方正仿宋_GBK" w:hAnsi="方正仿宋_GBK" w:eastAsia="方正仿宋_GBK" w:cs="方正仿宋_GBK"/>
          <w:b w:val="0"/>
          <w:bCs w:val="0"/>
          <w:sz w:val="32"/>
          <w:szCs w:val="32"/>
          <w:lang w:val="en-US" w:eastAsia="zh-CN"/>
        </w:rPr>
        <w:t>重庆市开州区党史研究中心</w:t>
      </w:r>
      <w:r>
        <w:rPr>
          <w:rFonts w:hint="eastAsia" w:eastAsia="方正仿宋_GBK"/>
          <w:sz w:val="32"/>
          <w:szCs w:val="32"/>
        </w:rPr>
        <w:t>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表4、</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表5、</w:t>
      </w:r>
      <w:r>
        <w:rPr>
          <w:rFonts w:hint="eastAsia" w:ascii="方正仿宋_GBK" w:hAnsi="方正仿宋_GBK" w:eastAsia="方正仿宋_GBK" w:cs="方正仿宋_GBK"/>
          <w:b w:val="0"/>
          <w:bCs w:val="0"/>
          <w:sz w:val="32"/>
          <w:szCs w:val="32"/>
          <w:lang w:val="en-US" w:eastAsia="zh-CN"/>
        </w:rPr>
        <w:t>重庆市开州区党史研究中心</w:t>
      </w:r>
      <w:r>
        <w:rPr>
          <w:rFonts w:hint="eastAsia" w:eastAsia="方正仿宋_GBK"/>
          <w:sz w:val="32"/>
          <w:szCs w:val="32"/>
        </w:rPr>
        <w:t>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表6、</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表7、</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表8、</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表9、</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72" w:lineRule="exact"/>
        <w:ind w:left="0" w:leftChars="0"/>
        <w:textAlignment w:val="auto"/>
        <w:rPr>
          <w:rFonts w:eastAsia="方正仿宋_GBK"/>
          <w:sz w:val="32"/>
          <w:szCs w:val="32"/>
        </w:rPr>
      </w:pPr>
      <w:r>
        <w:rPr>
          <w:rFonts w:eastAsia="方正仿宋_GBK"/>
          <w:sz w:val="32"/>
          <w:szCs w:val="32"/>
        </w:rPr>
        <w:t>表10、</w:t>
      </w: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szCs w:val="32"/>
        </w:rPr>
        <w:t>项目支出表</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center"/>
        <w:textAlignment w:val="auto"/>
        <w:rPr>
          <w:rFonts w:eastAsia="华文中宋"/>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eastAsia="方正黑体_GBK"/>
          <w:sz w:val="32"/>
        </w:rPr>
      </w:pPr>
      <w:r>
        <w:rPr>
          <w:rFonts w:eastAsia="方正黑体_GBK"/>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b w:val="0"/>
          <w:bCs w:val="0"/>
          <w:sz w:val="32"/>
          <w:lang w:val="en-US" w:eastAsia="zh-CN"/>
        </w:rPr>
      </w:pPr>
      <w:r>
        <w:rPr>
          <w:rFonts w:hint="eastAsia" w:ascii="方正楷体_GBK" w:hAnsi="方正楷体_GBK" w:eastAsia="方正楷体_GBK" w:cs="方正楷体_GBK"/>
          <w:b w:val="0"/>
          <w:bCs w:val="0"/>
          <w:sz w:val="32"/>
          <w:lang w:eastAsia="zh-CN"/>
        </w:rPr>
        <w:t>（</w:t>
      </w:r>
      <w:r>
        <w:rPr>
          <w:rFonts w:hint="eastAsia" w:ascii="方正楷体_GBK" w:hAnsi="方正楷体_GBK" w:eastAsia="方正楷体_GBK" w:cs="方正楷体_GBK"/>
          <w:b w:val="0"/>
          <w:bCs w:val="0"/>
          <w:sz w:val="32"/>
          <w:lang w:val="en-US" w:eastAsia="zh-CN"/>
        </w:rPr>
        <w:t>一</w:t>
      </w:r>
      <w:r>
        <w:rPr>
          <w:rFonts w:hint="eastAsia" w:ascii="方正楷体_GBK" w:hAnsi="方正楷体_GBK" w:eastAsia="方正楷体_GBK" w:cs="方正楷体_GBK"/>
          <w:b w:val="0"/>
          <w:bCs w:val="0"/>
          <w:sz w:val="32"/>
          <w:lang w:eastAsia="zh-CN"/>
        </w:rPr>
        <w:t>）</w:t>
      </w:r>
      <w:r>
        <w:rPr>
          <w:rFonts w:hint="eastAsia" w:ascii="方正楷体_GBK" w:hAnsi="方正楷体_GBK" w:eastAsia="方正楷体_GBK" w:cs="方正楷体_GBK"/>
          <w:b w:val="0"/>
          <w:bCs w:val="0"/>
          <w:sz w:val="32"/>
          <w:lang w:val="en-US" w:eastAsia="zh-CN"/>
        </w:rPr>
        <w:t>职能职责</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负责全区党史资料的征集、整理、研究、编纂工作，培养党史工作队伍，开展党史宣传教育，组织党史专题研究，开展党史遗址保护、场馆建设及党史业务指导等工作。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sz w:val="32"/>
          <w:lang w:val="en-US" w:eastAsia="zh-CN"/>
        </w:rPr>
      </w:pPr>
      <w:r>
        <w:rPr>
          <w:rFonts w:hint="eastAsia" w:ascii="方正楷体_GBK" w:hAnsi="方正楷体_GBK" w:eastAsia="方正楷体_GBK" w:cs="方正楷体_GBK"/>
          <w:sz w:val="32"/>
          <w:lang w:val="en-US" w:eastAsia="zh-CN"/>
        </w:rPr>
        <w:t>（二）单位构成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val="0"/>
          <w:bCs w:val="0"/>
          <w:sz w:val="32"/>
          <w:szCs w:val="32"/>
          <w:lang w:val="en-US" w:eastAsia="zh-CN"/>
        </w:rPr>
        <w:t>重庆市开州区党史研究中心核定事业编制4名，设主任1名。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ascii="微软雅黑" w:hAnsi="微软雅黑" w:eastAsia="微软雅黑"/>
          <w:color w:val="333333"/>
        </w:rPr>
      </w:pPr>
      <w:r>
        <w:rPr>
          <w:rFonts w:hint="eastAsia" w:ascii="方正仿宋_GBK" w:hAnsi="微软雅黑" w:eastAsia="方正仿宋_GBK"/>
          <w:color w:val="333333"/>
          <w:sz w:val="32"/>
          <w:szCs w:val="32"/>
        </w:rPr>
        <w:t>从单位构成看，本单位是二级预算单位，主管部门为</w:t>
      </w:r>
      <w:r>
        <w:rPr>
          <w:rFonts w:hint="eastAsia" w:ascii="方正仿宋_GBK" w:hAnsi="方正仿宋_GBK" w:eastAsia="方正仿宋_GBK" w:cs="方正仿宋_GBK"/>
          <w:b w:val="0"/>
          <w:bCs w:val="0"/>
          <w:sz w:val="32"/>
          <w:szCs w:val="32"/>
          <w:lang w:val="en-US" w:eastAsia="zh-CN"/>
        </w:rPr>
        <w:t>中国共产党重庆市开州区委员会宣传部</w:t>
      </w:r>
      <w:r>
        <w:rPr>
          <w:rFonts w:hint="eastAsia" w:ascii="方正仿宋_GBK" w:hAnsi="微软雅黑" w:eastAsia="方正仿宋_GBK"/>
          <w:color w:val="333333"/>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仿宋_GBK"/>
          <w:sz w:val="32"/>
        </w:rPr>
      </w:pPr>
      <w:r>
        <w:rPr>
          <w:rFonts w:eastAsia="方正黑体_GBK"/>
          <w:sz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lang w:val="en-US" w:eastAsia="zh-CN"/>
        </w:rPr>
        <w:t>15.77</w:t>
      </w:r>
      <w:r>
        <w:rPr>
          <w:rFonts w:eastAsia="方正仿宋_GBK"/>
          <w:sz w:val="32"/>
        </w:rPr>
        <w:t>万元，其中：一般公共预算拨款</w:t>
      </w:r>
      <w:r>
        <w:rPr>
          <w:rFonts w:hint="eastAsia" w:eastAsia="方正仿宋_GBK"/>
          <w:sz w:val="32"/>
          <w:lang w:val="en-US" w:eastAsia="zh-CN"/>
        </w:rPr>
        <w:t>15.77</w:t>
      </w:r>
      <w:r>
        <w:rPr>
          <w:rFonts w:eastAsia="方正仿宋_GBK"/>
          <w:sz w:val="32"/>
        </w:rPr>
        <w:t>万元，政府性基金预算拨款</w:t>
      </w:r>
      <w:r>
        <w:rPr>
          <w:rFonts w:hint="eastAsia" w:eastAsia="方正仿宋_GBK"/>
          <w:sz w:val="32"/>
          <w:lang w:val="en-US" w:eastAsia="zh-CN"/>
        </w:rPr>
        <w:t>0</w:t>
      </w:r>
      <w:r>
        <w:rPr>
          <w:rFonts w:eastAsia="方正仿宋_GBK"/>
          <w:sz w:val="32"/>
        </w:rPr>
        <w:t>万元，国有资本经营预算收入</w:t>
      </w:r>
      <w:r>
        <w:rPr>
          <w:rFonts w:hint="eastAsia" w:eastAsia="方正仿宋_GBK"/>
          <w:sz w:val="32"/>
          <w:lang w:val="en-US" w:eastAsia="zh-CN"/>
        </w:rPr>
        <w:t>0</w:t>
      </w:r>
      <w:r>
        <w:rPr>
          <w:rFonts w:eastAsia="方正仿宋_GBK"/>
          <w:sz w:val="32"/>
        </w:rPr>
        <w:t>万元，事业收入</w:t>
      </w:r>
      <w:r>
        <w:rPr>
          <w:rFonts w:hint="eastAsia" w:eastAsia="方正仿宋_GBK"/>
          <w:sz w:val="32"/>
          <w:lang w:val="en-US" w:eastAsia="zh-CN"/>
        </w:rPr>
        <w:t>0</w:t>
      </w:r>
      <w:r>
        <w:rPr>
          <w:rFonts w:eastAsia="方正仿宋_GBK"/>
          <w:sz w:val="32"/>
        </w:rPr>
        <w:t>万元，事业单位经营收入</w:t>
      </w:r>
      <w:r>
        <w:rPr>
          <w:rFonts w:hint="eastAsia" w:eastAsia="方正仿宋_GBK"/>
          <w:sz w:val="32"/>
          <w:lang w:val="en-US" w:eastAsia="zh-CN"/>
        </w:rPr>
        <w:t>0</w:t>
      </w:r>
      <w:r>
        <w:rPr>
          <w:rFonts w:eastAsia="方正仿宋_GBK"/>
          <w:sz w:val="32"/>
        </w:rPr>
        <w:t>万元，其他收入</w:t>
      </w:r>
      <w:r>
        <w:rPr>
          <w:rFonts w:hint="eastAsia" w:eastAsia="方正仿宋_GBK"/>
          <w:sz w:val="32"/>
          <w:lang w:val="en-US" w:eastAsia="zh-CN"/>
        </w:rPr>
        <w:t>0</w:t>
      </w:r>
      <w:r>
        <w:rPr>
          <w:rFonts w:eastAsia="方正仿宋_GBK"/>
          <w:sz w:val="32"/>
        </w:rPr>
        <w:t>万元。</w:t>
      </w:r>
      <w:r>
        <w:rPr>
          <w:rFonts w:hint="eastAsia" w:ascii="方正仿宋_GBK" w:hAnsi="方正仿宋_GBK" w:eastAsia="方正仿宋_GBK" w:cs="方正仿宋_GBK"/>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lang w:val="en-US" w:eastAsia="zh-CN"/>
        </w:rPr>
        <w:t>15.77</w:t>
      </w:r>
      <w:r>
        <w:rPr>
          <w:rFonts w:eastAsia="方正仿宋_GBK"/>
          <w:sz w:val="32"/>
        </w:rPr>
        <w:t>万元，其中：一般公共服务支出预算</w:t>
      </w:r>
      <w:r>
        <w:rPr>
          <w:rFonts w:hint="eastAsia" w:eastAsia="方正仿宋_GBK"/>
          <w:sz w:val="32"/>
          <w:lang w:val="en-US" w:eastAsia="zh-CN"/>
        </w:rPr>
        <w:t>12.91</w:t>
      </w:r>
      <w:r>
        <w:rPr>
          <w:rFonts w:eastAsia="方正仿宋_GBK"/>
          <w:sz w:val="32"/>
        </w:rPr>
        <w:t>万元，社会保障和就业支出预算</w:t>
      </w:r>
      <w:r>
        <w:rPr>
          <w:rFonts w:hint="eastAsia" w:eastAsia="方正仿宋_GBK"/>
          <w:sz w:val="32"/>
          <w:lang w:val="en-US" w:eastAsia="zh-CN"/>
        </w:rPr>
        <w:t>1.41</w:t>
      </w:r>
      <w:r>
        <w:rPr>
          <w:rFonts w:eastAsia="方正仿宋_GBK"/>
          <w:sz w:val="32"/>
        </w:rPr>
        <w:t>万元，卫生健康支出预算</w:t>
      </w:r>
      <w:r>
        <w:rPr>
          <w:rFonts w:hint="eastAsia" w:eastAsia="方正仿宋_GBK"/>
          <w:sz w:val="32"/>
          <w:lang w:val="en-US" w:eastAsia="zh-CN"/>
        </w:rPr>
        <w:t>0.74</w:t>
      </w:r>
      <w:r>
        <w:rPr>
          <w:rFonts w:eastAsia="方正仿宋_GBK"/>
          <w:sz w:val="32"/>
        </w:rPr>
        <w:t>万元，住房保障支出预算</w:t>
      </w:r>
      <w:r>
        <w:rPr>
          <w:rFonts w:hint="eastAsia" w:eastAsia="方正仿宋_GBK"/>
          <w:sz w:val="32"/>
          <w:lang w:val="en-US" w:eastAsia="zh-CN"/>
        </w:rPr>
        <w:t>0.71</w:t>
      </w:r>
      <w:r>
        <w:rPr>
          <w:rFonts w:eastAsia="方正仿宋_GBK"/>
          <w:sz w:val="32"/>
        </w:rPr>
        <w:t>万元</w:t>
      </w:r>
      <w:r>
        <w:rPr>
          <w:rFonts w:hint="eastAsia" w:eastAsia="方正仿宋_GBK"/>
          <w:sz w:val="32"/>
          <w:lang w:eastAsia="zh-CN"/>
        </w:rPr>
        <w:t>。</w:t>
      </w:r>
      <w:r>
        <w:rPr>
          <w:rFonts w:hint="eastAsia" w:ascii="方正仿宋_GBK" w:hAnsi="方正仿宋_GBK" w:eastAsia="方正仿宋_GBK" w:cs="方正仿宋_GBK"/>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黑体_GBK"/>
          <w:sz w:val="32"/>
        </w:rPr>
      </w:pPr>
      <w:r>
        <w:rPr>
          <w:rFonts w:eastAsia="方正黑体_GBK"/>
          <w:sz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eastAsia="方正仿宋_GBK"/>
          <w:sz w:val="32"/>
        </w:rPr>
        <w:t>2024年一般公共预算财政拨款收入</w:t>
      </w:r>
      <w:r>
        <w:rPr>
          <w:rFonts w:hint="eastAsia" w:eastAsia="方正仿宋_GBK"/>
          <w:sz w:val="32"/>
          <w:lang w:val="en-US" w:eastAsia="zh-CN"/>
        </w:rPr>
        <w:t>15.77</w:t>
      </w:r>
      <w:r>
        <w:rPr>
          <w:rFonts w:eastAsia="方正仿宋_GBK"/>
          <w:sz w:val="32"/>
        </w:rPr>
        <w:t>万元，一般公共预算财政拨款支出</w:t>
      </w:r>
      <w:r>
        <w:rPr>
          <w:rFonts w:hint="eastAsia" w:eastAsia="方正仿宋_GBK"/>
          <w:sz w:val="32"/>
          <w:lang w:val="en-US" w:eastAsia="zh-CN"/>
        </w:rPr>
        <w:t>15.77</w:t>
      </w:r>
      <w:r>
        <w:rPr>
          <w:rFonts w:eastAsia="方正仿宋_GBK"/>
          <w:sz w:val="32"/>
        </w:rPr>
        <w:t>万元</w:t>
      </w:r>
      <w:r>
        <w:rPr>
          <w:rFonts w:hint="eastAsia" w:eastAsia="方正仿宋_GBK"/>
          <w:sz w:val="32"/>
          <w:lang w:eastAsia="zh-CN"/>
        </w:rPr>
        <w:t>。</w:t>
      </w:r>
      <w:r>
        <w:rPr>
          <w:rFonts w:eastAsia="方正仿宋_GBK"/>
          <w:sz w:val="32"/>
        </w:rPr>
        <w:t>其中：基本支出</w:t>
      </w:r>
      <w:r>
        <w:rPr>
          <w:rFonts w:hint="eastAsia" w:eastAsia="方正仿宋_GBK"/>
          <w:sz w:val="32"/>
          <w:lang w:val="en-US" w:eastAsia="zh-CN"/>
        </w:rPr>
        <w:t>15.77</w:t>
      </w:r>
      <w:r>
        <w:rPr>
          <w:rFonts w:eastAsia="方正仿宋_GBK"/>
          <w:sz w:val="32"/>
        </w:rPr>
        <w:t>万元，主要用于保障在职人员工资福利及社会保险缴费，离休人员离休费，退休人员补助等，保障部门正常运转的各项商品服务支出；项目支出</w:t>
      </w:r>
      <w:r>
        <w:rPr>
          <w:rFonts w:hint="eastAsia" w:eastAsia="方正仿宋_GBK"/>
          <w:sz w:val="32"/>
          <w:lang w:val="en-US" w:eastAsia="zh-CN"/>
        </w:rPr>
        <w:t>0</w:t>
      </w:r>
      <w:r>
        <w:rPr>
          <w:rFonts w:eastAsia="方正仿宋_GBK"/>
          <w:sz w:val="32"/>
        </w:rPr>
        <w:t>万元。</w:t>
      </w:r>
      <w:r>
        <w:rPr>
          <w:rFonts w:hint="eastAsia" w:ascii="方正仿宋_GBK" w:hAnsi="方正仿宋_GBK" w:eastAsia="方正仿宋_GBK" w:cs="方正仿宋_GBK"/>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eastAsia="方正仿宋_GBK"/>
          <w:sz w:val="32"/>
          <w:lang w:val="en-US" w:eastAsia="zh-CN"/>
        </w:rPr>
      </w:pPr>
      <w:r>
        <w:rPr>
          <w:rFonts w:hint="eastAsia" w:ascii="方正仿宋_GBK" w:hAnsi="方正仿宋_GBK" w:eastAsia="方正仿宋_GBK" w:cs="方正仿宋_GBK"/>
          <w:b w:val="0"/>
          <w:bCs w:val="0"/>
          <w:sz w:val="32"/>
          <w:szCs w:val="32"/>
          <w:lang w:val="en-US" w:eastAsia="zh-CN"/>
        </w:rPr>
        <w:t>重庆市开州区党史研究中心</w:t>
      </w:r>
      <w:r>
        <w:rPr>
          <w:rFonts w:eastAsia="方正仿宋_GBK"/>
          <w:sz w:val="32"/>
        </w:rPr>
        <w:t>2024年无使用政府性基金预算拨款安排的支出</w:t>
      </w:r>
      <w:r>
        <w:rPr>
          <w:rFonts w:hint="eastAsia"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仿宋_GBK"/>
          <w:sz w:val="32"/>
        </w:rPr>
      </w:pPr>
      <w:r>
        <w:rPr>
          <w:rFonts w:eastAsia="方正黑体_GBK"/>
          <w:sz w:val="32"/>
        </w:rPr>
        <w:t>四、</w:t>
      </w:r>
      <w:r>
        <w:rPr>
          <w:rFonts w:hint="eastAsia" w:ascii="方正黑体_GBK" w:eastAsia="方正黑体_GBK"/>
          <w:sz w:val="32"/>
        </w:rPr>
        <w:t>“三公”经</w:t>
      </w:r>
      <w:r>
        <w:rPr>
          <w:rFonts w:eastAsia="方正黑体_GBK"/>
          <w:sz w:val="32"/>
        </w:rPr>
        <w:t>费情况说明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lang w:val="en-US" w:eastAsia="zh-CN"/>
        </w:rPr>
        <w:t>0</w:t>
      </w:r>
      <w:r>
        <w:rPr>
          <w:rFonts w:eastAsia="方正仿宋_GBK"/>
          <w:sz w:val="32"/>
        </w:rPr>
        <w:t>万元，其中：因公出国（境）费用</w:t>
      </w:r>
      <w:r>
        <w:rPr>
          <w:rFonts w:hint="eastAsia" w:eastAsia="方正仿宋_GBK"/>
          <w:sz w:val="32"/>
          <w:lang w:val="en-US" w:eastAsia="zh-CN"/>
        </w:rPr>
        <w:t>0</w:t>
      </w:r>
      <w:r>
        <w:rPr>
          <w:rFonts w:eastAsia="方正仿宋_GBK"/>
          <w:sz w:val="32"/>
        </w:rPr>
        <w:t>万元；公务接待费</w:t>
      </w:r>
      <w:r>
        <w:rPr>
          <w:rFonts w:hint="eastAsia" w:eastAsia="方正仿宋_GBK"/>
          <w:sz w:val="32"/>
          <w:lang w:val="en-US" w:eastAsia="zh-CN"/>
        </w:rPr>
        <w:t>0</w:t>
      </w:r>
      <w:r>
        <w:rPr>
          <w:rFonts w:eastAsia="方正仿宋_GBK"/>
          <w:sz w:val="32"/>
        </w:rPr>
        <w:t>万元；公务用车运行维护费</w:t>
      </w:r>
      <w:r>
        <w:rPr>
          <w:rFonts w:hint="eastAsia" w:eastAsia="方正仿宋_GBK"/>
          <w:sz w:val="32"/>
          <w:lang w:val="en-US" w:eastAsia="zh-CN"/>
        </w:rPr>
        <w:t>0</w:t>
      </w:r>
      <w:r>
        <w:rPr>
          <w:rFonts w:eastAsia="方正仿宋_GBK"/>
          <w:sz w:val="32"/>
        </w:rPr>
        <w:t>万元；公务用车购置费</w:t>
      </w:r>
      <w:r>
        <w:rPr>
          <w:rFonts w:hint="eastAsia" w:eastAsia="方正仿宋_GBK"/>
          <w:sz w:val="32"/>
          <w:lang w:val="en-US" w:eastAsia="zh-CN"/>
        </w:rPr>
        <w:t>0</w:t>
      </w:r>
      <w:r>
        <w:rPr>
          <w:rFonts w:eastAsia="方正仿宋_GBK"/>
          <w:sz w:val="32"/>
        </w:rPr>
        <w:t>万元。</w:t>
      </w:r>
      <w:r>
        <w:rPr>
          <w:rFonts w:hint="eastAsia" w:ascii="方正仿宋_GBK" w:hAnsi="方正仿宋_GBK" w:eastAsia="方正仿宋_GBK" w:cs="方正仿宋_GBK"/>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黑体_GBK"/>
          <w:sz w:val="32"/>
        </w:rPr>
      </w:pPr>
      <w:r>
        <w:rPr>
          <w:rFonts w:eastAsia="方正黑体_GBK"/>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仿宋_GBK"/>
          <w:sz w:val="32"/>
        </w:rPr>
      </w:pPr>
      <w:r>
        <w:rPr>
          <w:rFonts w:eastAsia="方正仿宋_GBK"/>
          <w:sz w:val="32"/>
        </w:rPr>
        <w:t>1、我单位不在机关运行经费统计范围之内。</w:t>
      </w:r>
    </w:p>
    <w:p>
      <w:pPr>
        <w:ind w:firstLine="643" w:firstLineChars="200"/>
        <w:rPr>
          <w:rFonts w:hint="eastAsia" w:ascii="方正仿宋_GBK" w:hAnsi="方正仿宋_GBK" w:eastAsia="方正仿宋_GBK" w:cs="方正仿宋_GBK"/>
          <w:sz w:val="32"/>
          <w:szCs w:val="32"/>
        </w:rPr>
      </w:pPr>
      <w:r>
        <w:rPr>
          <w:rFonts w:eastAsia="方正仿宋_GBK"/>
          <w:b/>
          <w:sz w:val="32"/>
        </w:rPr>
        <w:t>2、政府采购情况。</w:t>
      </w:r>
      <w:r>
        <w:rPr>
          <w:rFonts w:hint="default" w:ascii="Times New Roman" w:hAnsi="Times New Roman" w:eastAsia="方正仿宋_GBK" w:cs="Times New Roman"/>
          <w:sz w:val="32"/>
        </w:rPr>
        <w:t>我单位2024</w:t>
      </w:r>
      <w:r>
        <w:rPr>
          <w:rFonts w:hint="eastAsia" w:ascii="Times New Roman" w:hAnsi="Times New Roman" w:eastAsia="方正仿宋_GBK" w:cs="Times New Roman"/>
          <w:sz w:val="32"/>
          <w:lang w:val="en-US" w:eastAsia="zh-CN"/>
        </w:rPr>
        <w:t>年</w:t>
      </w:r>
      <w:r>
        <w:rPr>
          <w:rFonts w:hint="eastAsia" w:ascii="方正仿宋_GBK" w:hAnsi="方正仿宋_GBK" w:eastAsia="方正仿宋_GBK" w:cs="方正仿宋_GBK"/>
          <w:sz w:val="32"/>
          <w:szCs w:val="32"/>
        </w:rPr>
        <w:t>无采购预算。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textAlignment w:val="auto"/>
        <w:rPr>
          <w:rFonts w:hint="eastAsia" w:eastAsia="方正仿宋_GBK"/>
          <w:color w:val="000000"/>
          <w:sz w:val="32"/>
          <w:lang w:eastAsia="zh-CN"/>
        </w:rPr>
      </w:pPr>
      <w:r>
        <w:rPr>
          <w:rFonts w:eastAsia="方正仿宋_GBK"/>
          <w:b/>
          <w:sz w:val="32"/>
        </w:rPr>
        <w:t>3、绩效目标设置情况。</w:t>
      </w:r>
      <w:r>
        <w:rPr>
          <w:rFonts w:eastAsia="方正仿宋_GBK"/>
          <w:sz w:val="32"/>
        </w:rPr>
        <w:t>我单位</w:t>
      </w:r>
      <w:r>
        <w:rPr>
          <w:rFonts w:eastAsia="方正仿宋_GBK"/>
          <w:color w:val="000000"/>
          <w:sz w:val="32"/>
        </w:rPr>
        <w:t>2024年</w:t>
      </w:r>
      <w:r>
        <w:rPr>
          <w:rFonts w:hint="eastAsia" w:eastAsia="方正仿宋_GBK"/>
          <w:color w:val="000000"/>
          <w:sz w:val="32"/>
          <w:lang w:val="en-US" w:eastAsia="zh-CN"/>
        </w:rPr>
        <w:t>无</w:t>
      </w:r>
      <w:r>
        <w:rPr>
          <w:rFonts w:eastAsia="方正仿宋_GBK"/>
          <w:color w:val="000000"/>
          <w:sz w:val="32"/>
        </w:rPr>
        <w:t>项目支出</w:t>
      </w:r>
      <w:r>
        <w:rPr>
          <w:rFonts w:hint="eastAsia" w:eastAsia="方正仿宋_GBK"/>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textAlignment w:val="auto"/>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 xml:space="preserve">2023年12月，所属各预算单位共有车辆 </w:t>
      </w:r>
      <w:r>
        <w:rPr>
          <w:rFonts w:hint="eastAsia" w:eastAsia="方正仿宋_GBK"/>
          <w:color w:val="000000"/>
          <w:sz w:val="32"/>
          <w:lang w:val="en-US" w:eastAsia="zh-CN"/>
        </w:rPr>
        <w:t>0</w:t>
      </w:r>
      <w:r>
        <w:rPr>
          <w:rFonts w:eastAsia="方正仿宋_GBK"/>
          <w:color w:val="000000"/>
          <w:sz w:val="32"/>
        </w:rPr>
        <w:t>辆，其中一般公务用车</w:t>
      </w:r>
      <w:r>
        <w:rPr>
          <w:rFonts w:hint="eastAsia" w:eastAsia="方正仿宋_GBK"/>
          <w:color w:val="000000"/>
          <w:sz w:val="32"/>
          <w:lang w:val="en-US" w:eastAsia="zh-CN"/>
        </w:rPr>
        <w:t>0</w:t>
      </w:r>
      <w:r>
        <w:rPr>
          <w:rFonts w:eastAsia="方正仿宋_GBK"/>
          <w:color w:val="000000"/>
          <w:sz w:val="32"/>
        </w:rPr>
        <w:t>辆、执勤执法用车</w:t>
      </w:r>
      <w:r>
        <w:rPr>
          <w:rFonts w:hint="eastAsia" w:eastAsia="方正仿宋_GBK"/>
          <w:color w:val="000000"/>
          <w:sz w:val="32"/>
          <w:lang w:val="en-US" w:eastAsia="zh-CN"/>
        </w:rPr>
        <w:t>0</w:t>
      </w:r>
      <w:r>
        <w:rPr>
          <w:rFonts w:eastAsia="方正仿宋_GBK"/>
          <w:color w:val="000000"/>
          <w:sz w:val="32"/>
        </w:rPr>
        <w:t>辆。2024年一般公共预算安排购置车辆</w:t>
      </w:r>
      <w:r>
        <w:rPr>
          <w:rFonts w:hint="eastAsia" w:eastAsia="方正仿宋_GBK"/>
          <w:color w:val="000000"/>
          <w:sz w:val="32"/>
          <w:lang w:val="en-US" w:eastAsia="zh-CN"/>
        </w:rPr>
        <w:t>0</w:t>
      </w:r>
      <w:r>
        <w:rPr>
          <w:rFonts w:eastAsia="方正仿宋_GBK"/>
          <w:color w:val="000000"/>
          <w:sz w:val="32"/>
        </w:rPr>
        <w:t>辆，其中一般公务用车</w:t>
      </w:r>
      <w:r>
        <w:rPr>
          <w:rFonts w:hint="eastAsia" w:eastAsia="方正仿宋_GBK"/>
          <w:color w:val="000000"/>
          <w:sz w:val="32"/>
          <w:lang w:val="en-US" w:eastAsia="zh-CN"/>
        </w:rPr>
        <w:t>0</w:t>
      </w:r>
      <w:r>
        <w:rPr>
          <w:rFonts w:eastAsia="方正仿宋_GBK"/>
          <w:color w:val="000000"/>
          <w:sz w:val="32"/>
        </w:rPr>
        <w:t>辆、执勤执法用车</w:t>
      </w:r>
      <w:r>
        <w:rPr>
          <w:rFonts w:hint="eastAsia" w:eastAsia="方正仿宋_GBK"/>
          <w:color w:val="000000"/>
          <w:sz w:val="32"/>
          <w:lang w:val="en-US" w:eastAsia="zh-CN"/>
        </w:rPr>
        <w:t>0</w:t>
      </w:r>
      <w:r>
        <w:rPr>
          <w:rFonts w:eastAsia="方正仿宋_GBK"/>
          <w:color w:val="000000"/>
          <w:sz w:val="32"/>
        </w:rPr>
        <w:t>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黑体_GBK"/>
          <w:sz w:val="32"/>
        </w:rPr>
      </w:pPr>
      <w:r>
        <w:rPr>
          <w:rFonts w:eastAsia="方正黑体_GBK"/>
          <w:sz w:val="32"/>
        </w:rPr>
        <w:t>六、专业性名词解释</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eastAsia"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eastAsia="方正小标宋_GBK"/>
          <w:sz w:val="44"/>
          <w:szCs w:val="44"/>
        </w:rPr>
      </w:pPr>
      <w:r>
        <w:rPr>
          <w:rFonts w:hint="eastAsia" w:eastAsia="方正小标宋_GBK"/>
          <w:sz w:val="44"/>
          <w:szCs w:val="44"/>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eastAsia="方正黑体_GBK"/>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eastAsia="方正黑体_GBK"/>
          <w:sz w:val="32"/>
        </w:rPr>
      </w:pP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jc w:val="left"/>
        <w:textAlignment w:val="auto"/>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rPr>
        <w:t>2024年部门预算公开报表</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详见附表</w:t>
      </w:r>
      <w:r>
        <w:rPr>
          <w:rFonts w:hint="eastAsia" w:ascii="方正仿宋_GBK" w:hAnsi="方正仿宋_GBK" w:eastAsia="方正仿宋_GBK" w:cs="方正仿宋_GBK"/>
          <w:sz w:val="32"/>
          <w:lang w:val="en-US" w:eastAsia="zh-CN"/>
        </w:rPr>
        <w:t>重庆市开州区党史研究中心</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rPr>
        <w:t>024年部门预算公开报表</w:t>
      </w:r>
      <w:r>
        <w:rPr>
          <w:rFonts w:hint="eastAsia" w:ascii="方正仿宋_GBK" w:hAnsi="方正仿宋_GBK" w:eastAsia="方正仿宋_GBK" w:cs="方正仿宋_GBK"/>
          <w:sz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4480" w:firstLineChars="1400"/>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4480" w:firstLineChars="1400"/>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4480" w:firstLineChars="14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中共重庆市开州区委宣传部</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5120" w:firstLineChars="16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2024年3月</w:t>
      </w:r>
      <w:r>
        <w:rPr>
          <w:rFonts w:hint="eastAsia" w:ascii="Times New Roman" w:hAnsi="Times New Roman" w:eastAsia="方正仿宋_GBK" w:cs="Times New Roman"/>
          <w:kern w:val="2"/>
          <w:sz w:val="32"/>
          <w:szCs w:val="32"/>
          <w:lang w:val="en-US" w:eastAsia="zh-CN" w:bidi="ar-SA"/>
        </w:rPr>
        <w:t>21</w:t>
      </w:r>
      <w:r>
        <w:rPr>
          <w:rFonts w:hint="default" w:ascii="Times New Roman" w:hAnsi="Times New Roman" w:eastAsia="方正仿宋_GBK" w:cs="Times New Roman"/>
          <w:kern w:val="2"/>
          <w:sz w:val="32"/>
          <w:szCs w:val="32"/>
          <w:lang w:val="en-US" w:eastAsia="zh-CN" w:bidi="ar-SA"/>
        </w:rPr>
        <w:t>日</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5120" w:firstLineChars="16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sz w:val="32"/>
          <w:lang w:val="en-US" w:eastAsia="zh-CN"/>
        </w:rPr>
      </w:pPr>
      <w:r>
        <w:rPr>
          <w:rFonts w:hint="default" w:ascii="Times New Roman" w:hAnsi="Times New Roman" w:eastAsia="方正仿宋_GBK" w:cs="Times New Roman"/>
          <w:b w:val="0"/>
          <w:bCs/>
          <w:sz w:val="32"/>
          <w:lang w:eastAsia="zh-CN"/>
        </w:rPr>
        <w:t>（</w:t>
      </w:r>
      <w:r>
        <w:rPr>
          <w:rFonts w:hint="default" w:ascii="Times New Roman" w:hAnsi="Times New Roman" w:eastAsia="方正仿宋_GBK" w:cs="Times New Roman"/>
          <w:b w:val="0"/>
          <w:bCs/>
          <w:sz w:val="32"/>
        </w:rPr>
        <w:t>部门预算公开联系人：</w:t>
      </w:r>
      <w:r>
        <w:rPr>
          <w:rFonts w:hint="default" w:ascii="Times New Roman" w:hAnsi="Times New Roman" w:eastAsia="方正仿宋_GBK" w:cs="Times New Roman"/>
          <w:b w:val="0"/>
          <w:bCs/>
          <w:sz w:val="32"/>
          <w:lang w:val="en-US" w:eastAsia="zh-CN"/>
        </w:rPr>
        <w:t>唐东；</w:t>
      </w:r>
      <w:r>
        <w:rPr>
          <w:rFonts w:hint="default" w:ascii="Times New Roman" w:hAnsi="Times New Roman" w:eastAsia="方正仿宋_GBK" w:cs="Times New Roman"/>
          <w:b w:val="0"/>
          <w:bCs/>
          <w:sz w:val="32"/>
        </w:rPr>
        <w:t>联系</w:t>
      </w:r>
      <w:r>
        <w:rPr>
          <w:rFonts w:hint="default" w:ascii="Times New Roman" w:hAnsi="Times New Roman" w:eastAsia="方正仿宋_GBK" w:cs="Times New Roman"/>
          <w:b w:val="0"/>
          <w:bCs/>
          <w:sz w:val="32"/>
          <w:lang w:eastAsia="zh-CN"/>
        </w:rPr>
        <w:t>电话</w:t>
      </w:r>
      <w:r>
        <w:rPr>
          <w:rFonts w:hint="default" w:ascii="Times New Roman" w:hAnsi="Times New Roman" w:eastAsia="方正仿宋_GBK" w:cs="Times New Roman"/>
          <w:b w:val="0"/>
          <w:bCs/>
          <w:sz w:val="32"/>
        </w:rPr>
        <w:t>：023-</w:t>
      </w:r>
      <w:r>
        <w:rPr>
          <w:rFonts w:hint="default" w:ascii="Times New Roman" w:hAnsi="Times New Roman" w:eastAsia="方正仿宋_GBK" w:cs="Times New Roman"/>
          <w:b w:val="0"/>
          <w:bCs/>
          <w:sz w:val="32"/>
          <w:lang w:val="en-US" w:eastAsia="zh-CN"/>
        </w:rPr>
        <w:t>52666131）</w:t>
      </w: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Bdr>
          <w:top w:val="single" w:color="auto" w:sz="4" w:space="0"/>
          <w:bottom w:val="single" w:color="auto" w:sz="4" w:space="0"/>
        </w:pBdr>
        <w:spacing w:line="579" w:lineRule="exact"/>
        <w:ind w:firstLine="280" w:firstLineChars="1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Cs/>
          <w:sz w:val="28"/>
          <w:szCs w:val="28"/>
        </w:rPr>
        <w:t xml:space="preserve">中共重庆市开州区委宣传部办公室       </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 xml:space="preserve"> 202</w:t>
      </w:r>
      <w:r>
        <w:rPr>
          <w:rFonts w:hint="default"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年</w:t>
      </w:r>
      <w:r>
        <w:rPr>
          <w:rFonts w:hint="default" w:ascii="Times New Roman" w:hAnsi="Times New Roman" w:eastAsia="方正仿宋_GBK" w:cs="Times New Roman"/>
          <w:bCs/>
          <w:sz w:val="28"/>
          <w:szCs w:val="28"/>
          <w:lang w:val="en-US" w:eastAsia="zh-CN"/>
        </w:rPr>
        <w:t>3</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21</w:t>
      </w:r>
      <w:r>
        <w:rPr>
          <w:rFonts w:hint="default" w:ascii="Times New Roman" w:hAnsi="Times New Roman" w:eastAsia="方正仿宋_GBK" w:cs="Times New Roman"/>
          <w:bCs/>
          <w:sz w:val="28"/>
          <w:szCs w:val="28"/>
        </w:rPr>
        <w:t>日印发</w:t>
      </w:r>
    </w:p>
    <w:sectPr>
      <w:footerReference r:id="rId3" w:type="default"/>
      <w:pgSz w:w="11906" w:h="16838"/>
      <w:pgMar w:top="1984" w:right="1446" w:bottom="1644" w:left="1446" w:header="851" w:footer="1304"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宋体"/>
    <w:panose1 w:val="02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158750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251661312;mso-width-relative:page;mso-height-relative:page;" filled="f" stroked="f" coordsize="21600,21600" o:gfxdata="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3GgPdUAAAAHAQAADwAAAAAAAAAB&#10;ACAAAAAiAAAAZHJzL2Rvd25yZXYueG1sUEsBAhQAFAAAAAgAh07iQBHXJloTAgAAEwQAAA4AAAAA&#10;AAAAAQAgAAAAJAEAAGRycy9lMm9Eb2MueG1sUEsFBgAAAAAGAAYAWQEAAKkFA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2836545</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223.35pt;margin-top:0pt;height:144pt;width:6pt;mso-position-horizontal-relative:margin;z-index:251659264;mso-width-relative:page;mso-height-relative:page;" filled="f" stroked="f" coordsize="21600,21600" o:gfxdata="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KoHv1gAAAAgB&#10;AAAPAAAAAAAAAAEAIAAAACIAAABkcnMvZG93bnJldi54bWxQSwECFAAUAAAACACHTuJACp0nXR0C&#10;AAAdBAAADgAAAAAAAAABACAAAAAlAQAAZHJzL2Uyb0RvYy54bWxQSwUGAAAAAAYABgBZAQAAtAUA&#10;AAAA&#10;">
              <v:fill on="f" focussize="0,0"/>
              <v:stroke on="f" weight="0.5pt"/>
              <v:imagedata o:title=""/>
              <o:lock v:ext="edit" aspectratio="f"/>
              <v:textbox inset="0mm,0mm,0mm,0mm" style="mso-fit-shape-to-text:t;">
                <w:txbxContent>
                  <w:p>
                    <w:pPr>
                      <w:pStyle w:val="10"/>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MzUzOTE4MzE4NTYxZDRlMTFhOTBiNDI1Njg3NGUifQ=="/>
    <w:docVar w:name="KSO_WPS_MARK_KEY" w:val="9330a768-bf3c-4eb6-b255-5a01199eb059"/>
  </w:docVars>
  <w:rsids>
    <w:rsidRoot w:val="4DBC67A9"/>
    <w:rsid w:val="006A2D24"/>
    <w:rsid w:val="00D249FB"/>
    <w:rsid w:val="00D91EDB"/>
    <w:rsid w:val="01891B53"/>
    <w:rsid w:val="026911FC"/>
    <w:rsid w:val="027C5214"/>
    <w:rsid w:val="02A01AC6"/>
    <w:rsid w:val="02BB4ED6"/>
    <w:rsid w:val="078D1A95"/>
    <w:rsid w:val="0833776D"/>
    <w:rsid w:val="092666D2"/>
    <w:rsid w:val="098D0DD8"/>
    <w:rsid w:val="0A0B21FB"/>
    <w:rsid w:val="0C3836F4"/>
    <w:rsid w:val="0CE871B6"/>
    <w:rsid w:val="0E3A3B1A"/>
    <w:rsid w:val="0EEA31D3"/>
    <w:rsid w:val="104B4187"/>
    <w:rsid w:val="109A0F5B"/>
    <w:rsid w:val="111B04C7"/>
    <w:rsid w:val="11FF5B56"/>
    <w:rsid w:val="12387C06"/>
    <w:rsid w:val="1246257F"/>
    <w:rsid w:val="12961186"/>
    <w:rsid w:val="13031039"/>
    <w:rsid w:val="14E31122"/>
    <w:rsid w:val="17E223DB"/>
    <w:rsid w:val="17F01F42"/>
    <w:rsid w:val="18114FE8"/>
    <w:rsid w:val="181C15B9"/>
    <w:rsid w:val="18652AC8"/>
    <w:rsid w:val="19C92FDD"/>
    <w:rsid w:val="1A36182D"/>
    <w:rsid w:val="1A5253DF"/>
    <w:rsid w:val="1A727837"/>
    <w:rsid w:val="1AF56597"/>
    <w:rsid w:val="1B297EAD"/>
    <w:rsid w:val="1B3E058A"/>
    <w:rsid w:val="1BAD4F9E"/>
    <w:rsid w:val="1C5B36D3"/>
    <w:rsid w:val="1D7F7FE0"/>
    <w:rsid w:val="20ED24FB"/>
    <w:rsid w:val="244677DD"/>
    <w:rsid w:val="248A3369"/>
    <w:rsid w:val="24B6765B"/>
    <w:rsid w:val="25022DC4"/>
    <w:rsid w:val="25790BDA"/>
    <w:rsid w:val="25B2502E"/>
    <w:rsid w:val="26390EFC"/>
    <w:rsid w:val="26654355"/>
    <w:rsid w:val="26E002BE"/>
    <w:rsid w:val="296D4C0B"/>
    <w:rsid w:val="2A330C7A"/>
    <w:rsid w:val="2AF05EF0"/>
    <w:rsid w:val="2C24562C"/>
    <w:rsid w:val="2CE624D1"/>
    <w:rsid w:val="2DA1415C"/>
    <w:rsid w:val="2E057F04"/>
    <w:rsid w:val="2E561ED3"/>
    <w:rsid w:val="2EE55AD8"/>
    <w:rsid w:val="2F351477"/>
    <w:rsid w:val="2F5D16B0"/>
    <w:rsid w:val="2F62630B"/>
    <w:rsid w:val="30144BD3"/>
    <w:rsid w:val="322B3831"/>
    <w:rsid w:val="326B6757"/>
    <w:rsid w:val="32723633"/>
    <w:rsid w:val="33461DE2"/>
    <w:rsid w:val="33844C45"/>
    <w:rsid w:val="33C12876"/>
    <w:rsid w:val="35002009"/>
    <w:rsid w:val="3515679A"/>
    <w:rsid w:val="35466183"/>
    <w:rsid w:val="35D13ED9"/>
    <w:rsid w:val="364E4CF6"/>
    <w:rsid w:val="364F781C"/>
    <w:rsid w:val="37CC6CEC"/>
    <w:rsid w:val="382035D1"/>
    <w:rsid w:val="38D57BC2"/>
    <w:rsid w:val="39003913"/>
    <w:rsid w:val="397E4FEA"/>
    <w:rsid w:val="399C0F19"/>
    <w:rsid w:val="3A242500"/>
    <w:rsid w:val="3A8873FD"/>
    <w:rsid w:val="3B7F0862"/>
    <w:rsid w:val="3BAC0FC9"/>
    <w:rsid w:val="3EBB19F1"/>
    <w:rsid w:val="3ECB7787"/>
    <w:rsid w:val="3ED62D4F"/>
    <w:rsid w:val="3FD43AD6"/>
    <w:rsid w:val="403B48C5"/>
    <w:rsid w:val="40CB6732"/>
    <w:rsid w:val="41A0057E"/>
    <w:rsid w:val="429878EC"/>
    <w:rsid w:val="42BE1D46"/>
    <w:rsid w:val="43040488"/>
    <w:rsid w:val="43465F0F"/>
    <w:rsid w:val="437B305E"/>
    <w:rsid w:val="43EB5D88"/>
    <w:rsid w:val="43FE22D0"/>
    <w:rsid w:val="44520441"/>
    <w:rsid w:val="44C00020"/>
    <w:rsid w:val="45C43470"/>
    <w:rsid w:val="47AE392C"/>
    <w:rsid w:val="484343D5"/>
    <w:rsid w:val="48667F49"/>
    <w:rsid w:val="48A25821"/>
    <w:rsid w:val="48BD345D"/>
    <w:rsid w:val="48F14EB5"/>
    <w:rsid w:val="49417976"/>
    <w:rsid w:val="49770DF4"/>
    <w:rsid w:val="49871F26"/>
    <w:rsid w:val="49BD3DAD"/>
    <w:rsid w:val="4A272558"/>
    <w:rsid w:val="4A447D8A"/>
    <w:rsid w:val="4AC12B32"/>
    <w:rsid w:val="4B7C0727"/>
    <w:rsid w:val="4BAE52DF"/>
    <w:rsid w:val="4DBC67A9"/>
    <w:rsid w:val="4F0007D6"/>
    <w:rsid w:val="4F164509"/>
    <w:rsid w:val="4F295E47"/>
    <w:rsid w:val="50C56F4E"/>
    <w:rsid w:val="51566E22"/>
    <w:rsid w:val="5169196B"/>
    <w:rsid w:val="51CA1B46"/>
    <w:rsid w:val="51D873D0"/>
    <w:rsid w:val="5283164A"/>
    <w:rsid w:val="53301275"/>
    <w:rsid w:val="548D0545"/>
    <w:rsid w:val="54D766D7"/>
    <w:rsid w:val="5507664C"/>
    <w:rsid w:val="552411C2"/>
    <w:rsid w:val="554B6EC4"/>
    <w:rsid w:val="566A3F3F"/>
    <w:rsid w:val="569409DE"/>
    <w:rsid w:val="570F47B6"/>
    <w:rsid w:val="577962C2"/>
    <w:rsid w:val="57854905"/>
    <w:rsid w:val="5843025D"/>
    <w:rsid w:val="5ADF4B57"/>
    <w:rsid w:val="5AF75049"/>
    <w:rsid w:val="5B3653D4"/>
    <w:rsid w:val="5CC91C41"/>
    <w:rsid w:val="5D272AE1"/>
    <w:rsid w:val="5D8075F5"/>
    <w:rsid w:val="5DB14AFC"/>
    <w:rsid w:val="5DC16436"/>
    <w:rsid w:val="5DE21F01"/>
    <w:rsid w:val="5E7A7FDC"/>
    <w:rsid w:val="5EF12187"/>
    <w:rsid w:val="5F3E38FA"/>
    <w:rsid w:val="5FFA413D"/>
    <w:rsid w:val="61BA6B57"/>
    <w:rsid w:val="62747D7C"/>
    <w:rsid w:val="62FE444C"/>
    <w:rsid w:val="63E86944"/>
    <w:rsid w:val="6402554E"/>
    <w:rsid w:val="640770A3"/>
    <w:rsid w:val="6434661B"/>
    <w:rsid w:val="65C665BB"/>
    <w:rsid w:val="65F30F58"/>
    <w:rsid w:val="665B0975"/>
    <w:rsid w:val="66661BCD"/>
    <w:rsid w:val="66BB3E44"/>
    <w:rsid w:val="6A8661B0"/>
    <w:rsid w:val="6AE15578"/>
    <w:rsid w:val="6B3545E5"/>
    <w:rsid w:val="6B903F22"/>
    <w:rsid w:val="6BBC7AC2"/>
    <w:rsid w:val="6D5946CA"/>
    <w:rsid w:val="6D5D6CCF"/>
    <w:rsid w:val="6DD35411"/>
    <w:rsid w:val="6DF90007"/>
    <w:rsid w:val="6E123B43"/>
    <w:rsid w:val="6E265C58"/>
    <w:rsid w:val="6F693780"/>
    <w:rsid w:val="6FA35B9C"/>
    <w:rsid w:val="702D0758"/>
    <w:rsid w:val="70FC2620"/>
    <w:rsid w:val="71A57E20"/>
    <w:rsid w:val="71DB657E"/>
    <w:rsid w:val="71DC1DB8"/>
    <w:rsid w:val="737C685B"/>
    <w:rsid w:val="73E50AFC"/>
    <w:rsid w:val="74376DFB"/>
    <w:rsid w:val="743E0F9D"/>
    <w:rsid w:val="75715D52"/>
    <w:rsid w:val="757F1917"/>
    <w:rsid w:val="759F4046"/>
    <w:rsid w:val="75A24447"/>
    <w:rsid w:val="75B90E3A"/>
    <w:rsid w:val="75B94137"/>
    <w:rsid w:val="7601057E"/>
    <w:rsid w:val="76804D18"/>
    <w:rsid w:val="77062762"/>
    <w:rsid w:val="771A62C5"/>
    <w:rsid w:val="77CD3995"/>
    <w:rsid w:val="79B06826"/>
    <w:rsid w:val="7A067F11"/>
    <w:rsid w:val="7A7B22BD"/>
    <w:rsid w:val="7ADB27FC"/>
    <w:rsid w:val="7B9E1349"/>
    <w:rsid w:val="7CA95965"/>
    <w:rsid w:val="7CF118B7"/>
    <w:rsid w:val="7D46565E"/>
    <w:rsid w:val="7DCE4464"/>
    <w:rsid w:val="7E8236E1"/>
    <w:rsid w:val="7EEF0D58"/>
    <w:rsid w:val="7F1963CD"/>
    <w:rsid w:val="7F6525D5"/>
    <w:rsid w:val="7F7A759F"/>
    <w:rsid w:val="7F903427"/>
    <w:rsid w:val="7FE1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360" w:lineRule="auto"/>
      <w:ind w:left="0" w:leftChars="0" w:firstLine="1040" w:firstLineChars="200"/>
    </w:pPr>
    <w:rPr>
      <w:rFonts w:eastAsia="仿宋_GB2312"/>
      <w:sz w:val="24"/>
      <w:szCs w:val="32"/>
    </w:rPr>
  </w:style>
  <w:style w:type="paragraph" w:styleId="3">
    <w:name w:val="Body Text Indent"/>
    <w:basedOn w:val="1"/>
    <w:qFormat/>
    <w:uiPriority w:val="0"/>
    <w:pPr>
      <w:spacing w:after="120"/>
      <w:ind w:left="420" w:leftChars="200"/>
    </w:pPr>
  </w:style>
  <w:style w:type="paragraph" w:styleId="5">
    <w:name w:val="Body Text First Indent"/>
    <w:basedOn w:val="6"/>
    <w:qFormat/>
    <w:uiPriority w:val="0"/>
    <w:pPr>
      <w:ind w:firstLine="420" w:firstLineChars="100"/>
    </w:pPr>
  </w:style>
  <w:style w:type="paragraph" w:styleId="6">
    <w:name w:val="Body Text"/>
    <w:basedOn w:val="1"/>
    <w:next w:val="1"/>
    <w:qFormat/>
    <w:uiPriority w:val="0"/>
    <w:pPr>
      <w:numPr>
        <w:ilvl w:val="0"/>
        <w:numId w:val="1"/>
      </w:numPr>
      <w:tabs>
        <w:tab w:val="clear" w:pos="360"/>
      </w:tabs>
      <w:spacing w:after="120"/>
      <w:ind w:left="0" w:firstLine="0"/>
    </w:pPr>
  </w:style>
  <w:style w:type="paragraph" w:styleId="7">
    <w:name w:val="Normal Indent"/>
    <w:basedOn w:val="1"/>
    <w:next w:val="1"/>
    <w:qFormat/>
    <w:uiPriority w:val="0"/>
    <w:pPr>
      <w:ind w:firstLine="420" w:firstLineChars="20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next w:val="1"/>
    <w:qFormat/>
    <w:uiPriority w:val="0"/>
    <w:pPr>
      <w:widowControl w:val="0"/>
      <w:suppressAutoHyphens/>
      <w:ind w:left="1680"/>
      <w:jc w:val="both"/>
    </w:pPr>
    <w:rPr>
      <w:rFonts w:ascii="Calibri" w:hAnsi="Calibri" w:eastAsia="宋体" w:cs="Calibri"/>
      <w:kern w:val="2"/>
      <w:sz w:val="21"/>
      <w:szCs w:val="24"/>
      <w:lang w:val="en-US" w:eastAsia="zh-CN" w:bidi="ar-SA"/>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qFormat/>
    <w:uiPriority w:val="99"/>
    <w:pPr>
      <w:spacing w:before="240" w:after="60"/>
      <w:outlineLvl w:val="0"/>
    </w:pPr>
    <w:rPr>
      <w:rFonts w:ascii="Arial" w:hAnsi="Arial" w:eastAsia="宋体" w:cs="Arial"/>
      <w:b/>
      <w:bCs/>
      <w:sz w:val="32"/>
      <w:szCs w:val="32"/>
    </w:rPr>
  </w:style>
  <w:style w:type="character" w:styleId="16">
    <w:name w:val="page number"/>
    <w:basedOn w:val="15"/>
    <w:qFormat/>
    <w:uiPriority w:val="0"/>
  </w:style>
  <w:style w:type="character" w:styleId="17">
    <w:name w:val="Hyperlink"/>
    <w:basedOn w:val="15"/>
    <w:qFormat/>
    <w:uiPriority w:val="0"/>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21">
    <w:name w:val="Body text|2"/>
    <w:basedOn w:val="1"/>
    <w:qFormat/>
    <w:uiPriority w:val="0"/>
    <w:pPr>
      <w:widowControl w:val="0"/>
      <w:shd w:val="clear" w:color="auto" w:fill="auto"/>
      <w:spacing w:after="500"/>
      <w:ind w:right="1280"/>
      <w:jc w:val="right"/>
    </w:pPr>
    <w:rPr>
      <w:sz w:val="32"/>
      <w:szCs w:val="32"/>
      <w:u w:val="none"/>
      <w:shd w:val="clear" w:color="auto" w:fill="auto"/>
      <w:lang w:val="zh-TW" w:eastAsia="zh-TW" w:bidi="zh-TW"/>
    </w:rPr>
  </w:style>
  <w:style w:type="character" w:customStyle="1" w:styleId="22">
    <w:name w:val="font31"/>
    <w:basedOn w:val="15"/>
    <w:qFormat/>
    <w:uiPriority w:val="0"/>
    <w:rPr>
      <w:rFonts w:hint="eastAsia" w:ascii="方正仿宋_GBK" w:hAnsi="方正仿宋_GBK" w:eastAsia="方正仿宋_GBK" w:cs="方正仿宋_GBK"/>
      <w:color w:val="000000"/>
      <w:sz w:val="16"/>
      <w:szCs w:val="16"/>
      <w:u w:val="none"/>
    </w:rPr>
  </w:style>
  <w:style w:type="paragraph" w:customStyle="1" w:styleId="23">
    <w:name w:val="List Paragraph"/>
    <w:basedOn w:val="1"/>
    <w:qFormat/>
    <w:uiPriority w:val="34"/>
    <w:pPr>
      <w:ind w:firstLine="420" w:firstLineChars="200"/>
    </w:pPr>
  </w:style>
  <w:style w:type="character" w:customStyle="1" w:styleId="24">
    <w:name w:val="font41"/>
    <w:basedOn w:val="15"/>
    <w:qFormat/>
    <w:uiPriority w:val="99"/>
    <w:rPr>
      <w:rFonts w:ascii="方正仿宋_GBK" w:hAnsi="方正仿宋_GBK" w:eastAsia="方正仿宋_GBK" w:cs="方正仿宋_GBK"/>
      <w:color w:val="000000"/>
      <w:sz w:val="24"/>
      <w:szCs w:val="24"/>
      <w:u w:val="none"/>
    </w:rPr>
  </w:style>
  <w:style w:type="character" w:customStyle="1" w:styleId="25">
    <w:name w:val="font51"/>
    <w:basedOn w:val="15"/>
    <w:qFormat/>
    <w:uiPriority w:val="0"/>
    <w:rPr>
      <w:rFonts w:hint="default" w:ascii="Times New Roman" w:hAnsi="Times New Roman" w:cs="Times New Roman"/>
      <w:color w:val="000000"/>
      <w:sz w:val="21"/>
      <w:szCs w:val="21"/>
      <w:u w:val="none"/>
    </w:rPr>
  </w:style>
  <w:style w:type="character" w:customStyle="1" w:styleId="26">
    <w:name w:val="font21"/>
    <w:basedOn w:val="15"/>
    <w:qFormat/>
    <w:uiPriority w:val="0"/>
    <w:rPr>
      <w:rFonts w:hint="eastAsia" w:ascii="方正仿宋_GBK" w:hAnsi="方正仿宋_GBK" w:eastAsia="方正仿宋_GBK" w:cs="方正仿宋_GBK"/>
      <w:color w:val="000000"/>
      <w:sz w:val="21"/>
      <w:szCs w:val="21"/>
      <w:u w:val="none"/>
    </w:rPr>
  </w:style>
  <w:style w:type="character" w:customStyle="1" w:styleId="27">
    <w:name w:val="font61"/>
    <w:basedOn w:val="15"/>
    <w:qFormat/>
    <w:uiPriority w:val="0"/>
    <w:rPr>
      <w:rFonts w:hint="eastAsia" w:ascii="方正仿宋_GBK" w:hAnsi="方正仿宋_GBK" w:eastAsia="方正仿宋_GBK" w:cs="方正仿宋_GBK"/>
      <w:color w:val="000000"/>
      <w:sz w:val="21"/>
      <w:szCs w:val="21"/>
      <w:u w:val="none"/>
    </w:rPr>
  </w:style>
  <w:style w:type="character" w:customStyle="1" w:styleId="28">
    <w:name w:val="font91"/>
    <w:basedOn w:val="15"/>
    <w:qFormat/>
    <w:uiPriority w:val="0"/>
    <w:rPr>
      <w:rFonts w:hint="default" w:ascii="Times New Roman" w:hAnsi="Times New Roman" w:cs="Times New Roman"/>
      <w:color w:val="000000"/>
      <w:sz w:val="21"/>
      <w:szCs w:val="21"/>
      <w:u w:val="none"/>
    </w:rPr>
  </w:style>
  <w:style w:type="character" w:customStyle="1" w:styleId="29">
    <w:name w:val="font11"/>
    <w:basedOn w:val="15"/>
    <w:qFormat/>
    <w:uiPriority w:val="0"/>
    <w:rPr>
      <w:rFonts w:hint="eastAsia" w:ascii="方正小标宋_GBK" w:hAnsi="方正小标宋_GBK" w:eastAsia="方正小标宋_GBK" w:cs="方正小标宋_GBK"/>
      <w:color w:val="000000"/>
      <w:sz w:val="40"/>
      <w:szCs w:val="40"/>
      <w:u w:val="none"/>
    </w:rPr>
  </w:style>
  <w:style w:type="character" w:customStyle="1" w:styleId="30">
    <w:name w:val="font101"/>
    <w:basedOn w:val="15"/>
    <w:qFormat/>
    <w:uiPriority w:val="0"/>
    <w:rPr>
      <w:rFonts w:ascii="方正书宋_GBK" w:hAnsi="方正书宋_GBK" w:eastAsia="方正书宋_GBK" w:cs="方正书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1983</Words>
  <Characters>2118</Characters>
  <Lines>0</Lines>
  <Paragraphs>0</Paragraphs>
  <ScaleCrop>false</ScaleCrop>
  <LinksUpToDate>false</LinksUpToDate>
  <CharactersWithSpaces>2134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2020-03-18T01:07:00Z</dcterms:created>
  <dc:creator>只言片语</dc:creator>
  <cp:lastModifiedBy>张雷</cp:lastModifiedBy>
  <cp:lastPrinted>2024-02-04T06:53:00Z</cp:lastPrinted>
  <dcterms:modified xsi:type="dcterms:W3CDTF">2024-03-28T09:44:22Z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627671049_cloud</vt:lpwstr>
  </property>
  <property fmtid="{D5CDD505-2E9C-101B-9397-08002B2CF9AE}" pid="4" name="ICV">
    <vt:lpwstr>6F9CFEDEAF884A26807162D555BD76B5_13</vt:lpwstr>
  </property>
</Properties>
</file>