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horzAnchor="margin" w:tblpXSpec="center" w:tblpYSpec="top"/>
        <w:tblW w:w="0" w:type="auto"/>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noWrap w:val="0"/>
            <w:vAlign w:val="top"/>
          </w:tcPr>
          <w:p>
            <w:pPr>
              <w:keepNext w:val="0"/>
              <w:keepLines w:val="0"/>
              <w:suppressLineNumbers w:val="0"/>
              <w:spacing w:before="0" w:beforeAutospacing="0" w:after="0" w:afterAutospacing="0" w:line="600" w:lineRule="exact"/>
              <w:ind w:left="0" w:right="0"/>
              <w:rPr>
                <w:rFonts w:hint="eastAsia" w:ascii="Times New Roman" w:hAnsi="Times New Roman" w:eastAsia="方正仿宋_GBK" w:cs="Times New Roman"/>
                <w:sz w:val="33"/>
                <w:szCs w:val="32"/>
              </w:rPr>
            </w:pPr>
          </w:p>
        </w:tc>
      </w:tr>
      <w:tr>
        <w:tblPrEx>
          <w:tblCellMar>
            <w:top w:w="0" w:type="dxa"/>
            <w:left w:w="108" w:type="dxa"/>
            <w:bottom w:w="0" w:type="dxa"/>
            <w:right w:w="108" w:type="dxa"/>
          </w:tblCellMar>
        </w:tblPrEx>
        <w:trPr>
          <w:trHeight w:val="600" w:hRule="atLeast"/>
          <w:jc w:val="center"/>
        </w:trPr>
        <w:tc>
          <w:tcPr>
            <w:tcW w:w="8833" w:type="dxa"/>
            <w:noWrap w:val="0"/>
            <w:vAlign w:val="top"/>
          </w:tcPr>
          <w:p>
            <w:pPr>
              <w:keepNext w:val="0"/>
              <w:keepLines w:val="0"/>
              <w:suppressLineNumbers w:val="0"/>
              <w:spacing w:before="0" w:beforeAutospacing="0" w:after="0" w:afterAutospacing="0" w:line="600" w:lineRule="exact"/>
              <w:ind w:left="0" w:right="0"/>
              <w:rPr>
                <w:rFonts w:hint="eastAsia" w:ascii="方正黑体_GBK" w:hAnsi="Times New Roman" w:eastAsia="方正黑体_GBK" w:cs="Times New Roman"/>
                <w:sz w:val="33"/>
                <w:szCs w:val="32"/>
              </w:rPr>
            </w:pPr>
          </w:p>
        </w:tc>
      </w:tr>
      <w:tr>
        <w:tblPrEx>
          <w:tblCellMar>
            <w:top w:w="0" w:type="dxa"/>
            <w:left w:w="108" w:type="dxa"/>
            <w:bottom w:w="0" w:type="dxa"/>
            <w:right w:w="108" w:type="dxa"/>
          </w:tblCellMar>
        </w:tblPrEx>
        <w:trPr>
          <w:trHeight w:val="851" w:hRule="exact"/>
          <w:jc w:val="center"/>
        </w:trPr>
        <w:tc>
          <w:tcPr>
            <w:tcW w:w="8833" w:type="dxa"/>
            <w:noWrap w:val="0"/>
            <w:vAlign w:val="center"/>
          </w:tcPr>
          <w:p>
            <w:pPr>
              <w:keepNext w:val="0"/>
              <w:keepLines w:val="0"/>
              <w:suppressLineNumbers w:val="0"/>
              <w:spacing w:before="0" w:beforeAutospacing="0" w:after="0" w:afterAutospacing="0"/>
              <w:ind w:left="0" w:right="0"/>
              <w:jc w:val="both"/>
              <w:rPr>
                <w:rFonts w:hint="eastAsia" w:ascii="方正小标宋简体" w:hAnsi="Times New Roman" w:eastAsia="方正小标宋简体" w:cs="Times New Roman"/>
                <w:color w:val="FF0000"/>
                <w:w w:val="80"/>
                <w:sz w:val="33"/>
                <w:szCs w:val="33"/>
              </w:rPr>
            </w:pPr>
          </w:p>
        </w:tc>
      </w:tr>
      <w:tr>
        <w:tblPrEx>
          <w:tblCellMar>
            <w:top w:w="0" w:type="dxa"/>
            <w:left w:w="108" w:type="dxa"/>
            <w:bottom w:w="0" w:type="dxa"/>
            <w:right w:w="108" w:type="dxa"/>
          </w:tblCellMar>
        </w:tblPrEx>
        <w:trPr>
          <w:trHeight w:val="2495" w:hRule="exact"/>
          <w:jc w:val="center"/>
        </w:trPr>
        <w:tc>
          <w:tcPr>
            <w:tcW w:w="883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小标宋_GBK" w:cs="Times New Roman"/>
                <w:b/>
                <w:color w:val="FF3300"/>
                <w:spacing w:val="-20"/>
                <w:w w:val="58"/>
                <w:sz w:val="82"/>
                <w:szCs w:val="82"/>
              </w:rPr>
            </w:pPr>
            <w:r>
              <w:rPr>
                <w:rFonts w:hint="eastAsia" w:ascii="方正小标宋_GBK" w:hAnsi="Times New Roman" w:eastAsia="方正小标宋_GBK" w:cs="Times New Roman"/>
                <w:b/>
                <w:color w:val="FF0000"/>
                <w:w w:val="40"/>
                <w:sz w:val="110"/>
                <w:szCs w:val="110"/>
              </w:rPr>
              <w:t>重庆市开州区人民政府丰乐街道办事处文件</w:t>
            </w:r>
          </w:p>
        </w:tc>
      </w:tr>
      <w:tr>
        <w:tblPrEx>
          <w:tblCellMar>
            <w:top w:w="0" w:type="dxa"/>
            <w:left w:w="108" w:type="dxa"/>
            <w:bottom w:w="0" w:type="dxa"/>
            <w:right w:w="108" w:type="dxa"/>
          </w:tblCellMar>
        </w:tblPrEx>
        <w:trPr>
          <w:trHeight w:val="1721" w:hRule="exact"/>
          <w:jc w:val="center"/>
        </w:trPr>
        <w:tc>
          <w:tcPr>
            <w:tcW w:w="8833" w:type="dxa"/>
            <w:noWrap w:val="0"/>
            <w:vAlign w:val="bottom"/>
          </w:tcPr>
          <w:p>
            <w:pPr>
              <w:keepNext w:val="0"/>
              <w:keepLines w:val="0"/>
              <w:suppressLineNumbers w:val="0"/>
              <w:spacing w:before="0" w:beforeAutospacing="0" w:after="0" w:afterAutospacing="0" w:line="540" w:lineRule="exact"/>
              <w:ind w:left="0" w:right="0" w:firstLine="170" w:firstLineChars="50"/>
              <w:jc w:val="center"/>
              <w:rPr>
                <w:rFonts w:hint="eastAsia" w:ascii="Times New Roman" w:hAnsi="Times New Roman" w:eastAsia="方正仿宋_GBK" w:cs="Times New Roman"/>
                <w:spacing w:val="10"/>
                <w:sz w:val="32"/>
                <w:szCs w:val="32"/>
              </w:rPr>
            </w:pPr>
            <w:r>
              <w:rPr>
                <w:rFonts w:hint="eastAsia" w:ascii="Times New Roman" w:hAnsi="Times New Roman" w:eastAsia="方正仿宋_GBK" w:cs="Times New Roman"/>
                <w:spacing w:val="10"/>
                <w:sz w:val="32"/>
                <w:szCs w:val="32"/>
              </w:rPr>
              <w:t>开州丰街</w:t>
            </w:r>
            <w:r>
              <w:rPr>
                <w:rFonts w:hint="eastAsia" w:ascii="Times New Roman" w:hAnsi="Times New Roman" w:eastAsia="方正仿宋_GBK" w:cs="Times New Roman"/>
                <w:spacing w:val="10"/>
                <w:sz w:val="32"/>
                <w:szCs w:val="32"/>
                <w:lang w:eastAsia="zh-CN"/>
              </w:rPr>
              <w:t>发</w:t>
            </w:r>
            <w:r>
              <w:rPr>
                <w:rFonts w:hint="eastAsia"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lang w:val="en-US" w:eastAsia="zh-CN"/>
              </w:rPr>
              <w:t>2026</w:t>
            </w:r>
            <w:r>
              <w:rPr>
                <w:rFonts w:hint="eastAsia"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lang w:val="en-US" w:eastAsia="zh-CN"/>
              </w:rPr>
              <w:t>31</w:t>
            </w:r>
            <w:r>
              <w:rPr>
                <w:rFonts w:hint="eastAsia" w:ascii="Times New Roman" w:hAnsi="Times New Roman" w:eastAsia="方正仿宋_GBK" w:cs="Times New Roman"/>
                <w:spacing w:val="10"/>
                <w:sz w:val="32"/>
                <w:szCs w:val="32"/>
              </w:rPr>
              <w:t>号</w:t>
            </w:r>
          </w:p>
          <w:p>
            <w:pPr>
              <w:keepNext w:val="0"/>
              <w:keepLines w:val="0"/>
              <w:suppressLineNumbers w:val="0"/>
              <w:spacing w:before="0" w:beforeAutospacing="0" w:after="0" w:afterAutospacing="0" w:line="540" w:lineRule="exact"/>
              <w:ind w:left="0" w:right="0"/>
              <w:jc w:val="center"/>
              <w:rPr>
                <w:rFonts w:hint="eastAsia" w:ascii="Times New Roman" w:hAnsi="Times New Roman" w:eastAsia="方正仿宋_GBK" w:cs="Times New Roman"/>
                <w:color w:val="FF3300"/>
                <w:sz w:val="52"/>
                <w:szCs w:val="52"/>
              </w:rPr>
            </w:pPr>
            <w:r>
              <w:rPr>
                <w:rFonts w:hint="eastAsia" w:ascii="Times New Roman" w:hAnsi="Times New Roman" w:eastAsia="方正仿宋_GBK"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158115</wp:posOffset>
                      </wp:positionV>
                      <wp:extent cx="5607050" cy="1778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7050" cy="1778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5pt;margin-top:12.45pt;height:1.4pt;width:441.5pt;z-index:251660288;mso-width-relative:page;mso-height-relative:page;" filled="f" stroked="t" coordsize="21600,21600" o:gfxdata="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7i+HNgAAAAJAQAADwAAAAAAAAABACAAAAAiAAAAZHJzL2Rv&#10;d25yZXYueG1sUEsBAhQAFAAAAAgAh07iQBtiXVgBAgAA9wMAAA4AAAAAAAAAAQAgAAAAJwEAAGRy&#10;cy9lMm9Eb2MueG1sUEsFBgAAAAAGAAYAWQEAAJoFAAAAAA==&#10;">
                      <v:fill on="f" focussize="0,0"/>
                      <v:stroke weight="2.25pt" color="#FF0000" joinstyle="round"/>
                      <v:imagedata o:title=""/>
                      <o:lock v:ext="edit" aspectratio="f"/>
                    </v:line>
                  </w:pict>
                </mc:Fallback>
              </mc:AlternateContent>
            </w:r>
          </w:p>
        </w:tc>
      </w:tr>
    </w:tbl>
    <w:p>
      <w:pPr>
        <w:pStyle w:val="2"/>
        <w:keepNext w:val="0"/>
        <w:keepLines w:val="0"/>
        <w:pageBreakBefore w:val="0"/>
        <w:kinsoku/>
        <w:wordWrap/>
        <w:overflowPunct/>
        <w:topLinePunct w:val="0"/>
        <w:autoSpaceDE/>
        <w:autoSpaceDN/>
        <w:bidi w:val="0"/>
        <w:adjustRightInd/>
        <w:snapToGrid/>
        <w:spacing w:line="594" w:lineRule="exact"/>
        <w:ind w:left="0" w:hanging="880" w:hangingChars="200"/>
        <w:jc w:val="center"/>
        <w:textAlignment w:val="auto"/>
        <w:rPr>
          <w:rFonts w:hint="default" w:ascii="Times New Roman" w:hAnsi="Times New Roman" w:eastAsia="方正小标宋_GBK" w:cs="Times New Roman"/>
          <w:color w:val="000000"/>
          <w:spacing w:val="0"/>
          <w:w w:val="100"/>
          <w:kern w:val="0"/>
          <w:sz w:val="44"/>
          <w:szCs w:val="44"/>
        </w:rPr>
      </w:pPr>
      <w:r>
        <w:rPr>
          <w:rFonts w:hint="default" w:ascii="Times New Roman" w:hAnsi="Times New Roman" w:eastAsia="方正小标宋_GBK" w:cs="Times New Roman"/>
          <w:color w:val="000000"/>
          <w:spacing w:val="0"/>
          <w:w w:val="100"/>
          <w:kern w:val="0"/>
          <w:sz w:val="44"/>
          <w:szCs w:val="44"/>
        </w:rPr>
        <w:t>重庆市开州区人民政府丰乐街道办事处</w:t>
      </w:r>
      <w:r>
        <w:rPr>
          <w:rFonts w:hint="eastAsia" w:ascii="Times New Roman" w:hAnsi="Times New Roman" w:eastAsia="方正小标宋_GBK" w:cs="Times New Roman"/>
          <w:color w:val="auto"/>
          <w:sz w:val="44"/>
          <w:szCs w:val="44"/>
          <w:highlight w:val="none"/>
          <w:lang w:eastAsia="zh-CN"/>
        </w:rPr>
        <w:t>（本级）</w:t>
      </w:r>
    </w:p>
    <w:p>
      <w:pPr>
        <w:pStyle w:val="2"/>
        <w:keepNext w:val="0"/>
        <w:keepLines w:val="0"/>
        <w:pageBreakBefore w:val="0"/>
        <w:kinsoku/>
        <w:wordWrap/>
        <w:overflowPunct/>
        <w:topLinePunct w:val="0"/>
        <w:autoSpaceDE/>
        <w:autoSpaceDN/>
        <w:bidi w:val="0"/>
        <w:adjustRightInd/>
        <w:snapToGrid/>
        <w:spacing w:line="594" w:lineRule="exact"/>
        <w:ind w:left="0" w:hanging="880" w:hangingChars="200"/>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val="en-US" w:eastAsia="zh-CN"/>
        </w:rPr>
        <w:t>单位</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default" w:ascii="Times New Roman" w:hAnsi="Times New Roman" w:eastAsia="方正仿宋_GBK" w:cs="Times New Roman"/>
          <w:sz w:val="32"/>
          <w:szCs w:val="32"/>
          <w:highlight w:val="none"/>
          <w:lang w:val="en-US" w:eastAsia="zh-CN"/>
        </w:rPr>
        <w:t>重庆市开州区人民政府丰乐街道办事处</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预算的通知》（开</w:t>
      </w:r>
      <w:r>
        <w:rPr>
          <w:rFonts w:hint="default" w:ascii="Times New Roman" w:hAnsi="Times New Roman" w:eastAsia="方正仿宋_GBK" w:cs="Times New Roman"/>
          <w:sz w:val="32"/>
          <w:szCs w:val="32"/>
          <w:highlight w:val="none"/>
          <w:lang w:val="en-US" w:eastAsia="zh-CN"/>
        </w:rPr>
        <w:t>州丰乐街发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号）,现将</w:t>
      </w:r>
      <w:r>
        <w:rPr>
          <w:rFonts w:hint="default" w:ascii="Times New Roman" w:hAnsi="Times New Roman" w:eastAsia="方正仿宋_GBK" w:cs="Times New Roman"/>
          <w:sz w:val="32"/>
          <w:szCs w:val="32"/>
          <w:highlight w:val="none"/>
          <w:lang w:val="en-US" w:eastAsia="zh-CN"/>
        </w:rPr>
        <w:t>重庆市开州区人民政府丰乐街办事处（本级）2026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default"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default"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收支预算总表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收入总表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本年支出预算总表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财政拨款收支预算总表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项目支出表</w:t>
      </w:r>
    </w:p>
    <w:p>
      <w:pPr>
        <w:keepNext w:val="0"/>
        <w:keepLines w:val="0"/>
        <w:pageBreakBefore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重庆市开州区人民政府丰乐街道办事处（本级）</w:t>
      </w:r>
      <w:r>
        <w:rPr>
          <w:rFonts w:hint="default" w:ascii="Times New Roman" w:hAnsi="Times New Roman" w:eastAsia="方正仿宋_GBK" w:cs="Times New Roman"/>
          <w:sz w:val="32"/>
          <w:szCs w:val="32"/>
          <w:highlight w:val="none"/>
        </w:rPr>
        <w:t>项目绩效目标表</w:t>
      </w: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keepNext w:val="0"/>
        <w:keepLines w:val="0"/>
        <w:pageBreakBefore w:val="0"/>
        <w:kinsoku/>
        <w:wordWrap/>
        <w:overflowPunct/>
        <w:topLinePunct w:val="0"/>
        <w:autoSpaceDE/>
        <w:autoSpaceDN/>
        <w:bidi w:val="0"/>
        <w:adjustRightInd/>
        <w:snapToGrid/>
        <w:spacing w:line="594" w:lineRule="exact"/>
        <w:ind w:left="0"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Times New Roman" w:hAnsi="Times New Roman" w:eastAsia="方正仿宋_GBK" w:cs="Times New Roman"/>
          <w:color w:val="000000"/>
          <w:sz w:val="31"/>
          <w:szCs w:val="31"/>
          <w:lang w:val="en-US" w:eastAsia="zh-CN"/>
        </w:rPr>
      </w:pPr>
      <w:r>
        <w:rPr>
          <w:rFonts w:hint="default" w:ascii="Times New Roman" w:hAnsi="Times New Roman" w:eastAsia="方正仿宋_GBK" w:cs="Times New Roman"/>
          <w:color w:val="000000"/>
          <w:sz w:val="31"/>
          <w:szCs w:val="31"/>
          <w:lang w:val="en-US" w:eastAsia="zh-CN"/>
        </w:rPr>
        <w:t>根据《中共重庆市开州区委机构编制委员会关于优化调整丰乐街道机构设置、职能配置和人员编制的通知》（开州委编</w:t>
      </w:r>
      <w:r>
        <w:rPr>
          <w:rFonts w:hint="default" w:ascii="Times New Roman" w:hAnsi="Times New Roman" w:eastAsia="方正仿宋_GBK" w:cs="Times New Roman"/>
          <w:spacing w:val="10"/>
          <w:sz w:val="32"/>
          <w:szCs w:val="32"/>
        </w:rPr>
        <w:t>〔</w:t>
      </w:r>
      <w:r>
        <w:rPr>
          <w:rFonts w:hint="default" w:ascii="Times New Roman" w:hAnsi="Times New Roman" w:eastAsia="方正仿宋_GBK" w:cs="Times New Roman"/>
          <w:spacing w:val="10"/>
          <w:sz w:val="32"/>
          <w:szCs w:val="32"/>
          <w:lang w:val="en-US" w:eastAsia="zh-CN"/>
        </w:rPr>
        <w:t>2024</w:t>
      </w:r>
      <w:r>
        <w:rPr>
          <w:rFonts w:hint="default" w:ascii="Times New Roman" w:hAnsi="Times New Roman" w:eastAsia="方正仿宋_GBK" w:cs="Times New Roman"/>
          <w:spacing w:val="10"/>
          <w:sz w:val="32"/>
          <w:szCs w:val="32"/>
        </w:rPr>
        <w:t>〕</w:t>
      </w:r>
      <w:r>
        <w:rPr>
          <w:rFonts w:hint="eastAsia" w:ascii="Times New Roman" w:hAnsi="Times New Roman" w:eastAsia="方正仿宋_GBK" w:cs="Times New Roman"/>
          <w:color w:val="000000"/>
          <w:sz w:val="31"/>
          <w:szCs w:val="31"/>
          <w:lang w:val="en-US" w:eastAsia="zh-CN"/>
        </w:rPr>
        <w:t>38</w:t>
      </w:r>
      <w:r>
        <w:rPr>
          <w:rFonts w:hint="default" w:ascii="Times New Roman" w:hAnsi="Times New Roman" w:eastAsia="方正仿宋_GBK" w:cs="Times New Roman"/>
          <w:color w:val="000000"/>
          <w:sz w:val="31"/>
          <w:szCs w:val="31"/>
          <w:lang w:val="en-US" w:eastAsia="zh-CN"/>
        </w:rPr>
        <w:t>号）文件，重庆市开州区人民政府丰乐街道办事处（本级）职能职责是：</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eastAsia="方正仿宋_GBK" w:cs="Times New Roman"/>
          <w:b/>
          <w:bCs/>
          <w:color w:val="000000"/>
          <w:kern w:val="0"/>
          <w:sz w:val="31"/>
          <w:szCs w:val="31"/>
          <w:lang w:val="en-US" w:eastAsia="zh-CN" w:bidi="ar"/>
        </w:rPr>
        <w:t>基层治理综合指挥室</w:t>
      </w:r>
      <w:r>
        <w:rPr>
          <w:rFonts w:hint="default" w:ascii="Times New Roman" w:hAnsi="Times New Roman" w:eastAsia="方正仿宋_GBK" w:cs="Times New Roman"/>
          <w:color w:val="000000"/>
          <w:kern w:val="0"/>
          <w:sz w:val="31"/>
          <w:szCs w:val="31"/>
          <w:lang w:val="en-US" w:eastAsia="zh-CN" w:bidi="ar"/>
        </w:rPr>
        <w:t>。主要负责综合协调、统筹调度、应</w:t>
      </w:r>
      <w:r>
        <w:rPr>
          <w:rFonts w:hint="default" w:ascii="Times New Roman" w:hAnsi="Times New Roman" w:eastAsia="方正仿宋_GBK" w:cs="Times New Roman"/>
          <w:color w:val="000000"/>
          <w:sz w:val="31"/>
          <w:szCs w:val="31"/>
        </w:rPr>
        <w:t>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2.</w:t>
      </w:r>
      <w:r>
        <w:rPr>
          <w:rFonts w:hint="default" w:ascii="Times New Roman" w:hAnsi="Times New Roman" w:eastAsia="方正仿宋_GBK" w:cs="Times New Roman"/>
          <w:b/>
          <w:bCs/>
          <w:color w:val="000000"/>
          <w:sz w:val="31"/>
          <w:szCs w:val="31"/>
        </w:rPr>
        <w:t>党的建设办公室</w:t>
      </w:r>
      <w:r>
        <w:rPr>
          <w:rFonts w:hint="default" w:ascii="Times New Roman" w:hAnsi="Times New Roman" w:eastAsia="方正仿宋_GBK" w:cs="Times New Roman"/>
          <w:color w:val="000000"/>
          <w:sz w:val="31"/>
          <w:szCs w:val="31"/>
        </w:rPr>
        <w:t>。主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承担政协委员工作室的日常工作；负责群团和关心下一代工作，负责未成年人保护工作的组织、协调、指导、督促，负责家庭暴力预防、家庭教育指导等工作。</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3.</w:t>
      </w:r>
      <w:r>
        <w:rPr>
          <w:rFonts w:hint="default" w:ascii="Times New Roman" w:hAnsi="Times New Roman" w:eastAsia="方正仿宋_GBK" w:cs="Times New Roman"/>
          <w:b/>
          <w:bCs/>
          <w:color w:val="000000"/>
          <w:sz w:val="31"/>
          <w:szCs w:val="31"/>
        </w:rPr>
        <w:t>经济发展办公室</w:t>
      </w:r>
      <w:r>
        <w:rPr>
          <w:rFonts w:hint="default" w:ascii="Times New Roman" w:hAnsi="Times New Roman" w:eastAsia="方正仿宋_GBK" w:cs="Times New Roman"/>
          <w:color w:val="000000"/>
          <w:sz w:val="31"/>
          <w:szCs w:val="31"/>
        </w:rPr>
        <w:t>。主要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Times New Roman" w:hAnsi="Times New Roman" w:cs="Times New Roman"/>
        </w:rPr>
      </w:pPr>
      <w:r>
        <w:rPr>
          <w:rFonts w:hint="default" w:ascii="Times New Roman" w:hAnsi="Times New Roman" w:eastAsia="Times New Roman Bold" w:cs="Times New Roman"/>
          <w:b/>
          <w:bCs/>
          <w:color w:val="000000"/>
          <w:sz w:val="31"/>
          <w:szCs w:val="31"/>
        </w:rPr>
        <w:t>4.</w:t>
      </w:r>
      <w:r>
        <w:rPr>
          <w:rFonts w:hint="default" w:ascii="Times New Roman" w:hAnsi="Times New Roman" w:eastAsia="方正仿宋_GBK" w:cs="Times New Roman"/>
          <w:b/>
          <w:bCs/>
          <w:color w:val="000000"/>
          <w:sz w:val="31"/>
          <w:szCs w:val="31"/>
        </w:rPr>
        <w:t>民生服务办公室</w:t>
      </w:r>
      <w:r>
        <w:rPr>
          <w:rFonts w:hint="default" w:ascii="Times New Roman" w:hAnsi="Times New Roman" w:eastAsia="方正仿宋_GBK" w:cs="Times New Roman"/>
          <w:color w:val="000000"/>
          <w:sz w:val="31"/>
          <w:szCs w:val="31"/>
        </w:rPr>
        <w:t>。主要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Times New Roman" w:hAnsi="Times New Roman" w:eastAsia="方正仿宋_GBK" w:cs="Times New Roman"/>
          <w:kern w:val="2"/>
          <w:sz w:val="32"/>
          <w:szCs w:val="24"/>
          <w:highlight w:val="none"/>
          <w:lang w:val="en-US" w:eastAsia="zh-CN" w:bidi="ar-SA"/>
        </w:rPr>
      </w:pPr>
      <w:r>
        <w:rPr>
          <w:rFonts w:hint="default" w:ascii="Times New Roman" w:hAnsi="Times New Roman" w:eastAsia="Times New Roman Bold" w:cs="Times New Roman"/>
          <w:b/>
          <w:bCs/>
          <w:color w:val="000000"/>
          <w:sz w:val="31"/>
          <w:szCs w:val="31"/>
        </w:rPr>
        <w:t>5.</w:t>
      </w:r>
      <w:r>
        <w:rPr>
          <w:rFonts w:hint="default" w:ascii="Times New Roman" w:hAnsi="Times New Roman" w:eastAsia="方正仿宋_GBK" w:cs="Times New Roman"/>
          <w:b/>
          <w:bCs/>
          <w:color w:val="000000"/>
          <w:sz w:val="31"/>
          <w:szCs w:val="31"/>
        </w:rPr>
        <w:t>平安法治办公室。</w:t>
      </w:r>
      <w:r>
        <w:rPr>
          <w:rFonts w:hint="default" w:ascii="Times New Roman" w:hAnsi="Times New Roman" w:eastAsia="方正仿宋_GBK" w:cs="Times New Roman"/>
          <w:color w:val="000000"/>
          <w:sz w:val="31"/>
          <w:szCs w:val="31"/>
        </w:rPr>
        <w:t>主要负责法治建设、社会治安综合治理、国家安全教育、禁毒和反邪教、信访稳定、矛盾纠纷化解调处工</w:t>
      </w:r>
      <w:r>
        <w:rPr>
          <w:rFonts w:hint="default" w:ascii="Times New Roman" w:hAnsi="Times New Roman" w:eastAsia="方正仿宋_GBK" w:cs="Times New Roman"/>
          <w:color w:val="000000"/>
          <w:kern w:val="0"/>
          <w:sz w:val="31"/>
          <w:szCs w:val="31"/>
          <w:lang w:val="en-US" w:eastAsia="zh-CN" w:bidi="ar"/>
        </w:rPr>
        <w:t>作；统筹做好平安创建、扫黑除恶、人民调解、社区矫正、社会</w:t>
      </w:r>
      <w:r>
        <w:rPr>
          <w:rFonts w:hint="default" w:ascii="Times New Roman" w:hAnsi="Times New Roman" w:eastAsia="方正仿宋_GBK" w:cs="Times New Roman"/>
          <w:color w:val="000000"/>
          <w:sz w:val="31"/>
          <w:szCs w:val="31"/>
        </w:rPr>
        <w:t>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w:t>
      </w:r>
      <w:r>
        <w:rPr>
          <w:rFonts w:hint="default" w:ascii="Times New Roman" w:hAnsi="Times New Roman" w:eastAsia="方正仿宋_GBK" w:cs="Times New Roman"/>
          <w:color w:val="000000"/>
          <w:sz w:val="31"/>
          <w:szCs w:val="31"/>
          <w:lang w:eastAsia="zh-CN"/>
        </w:rPr>
        <w:t>单位</w:t>
      </w:r>
      <w:r>
        <w:rPr>
          <w:rFonts w:hint="default" w:ascii="Times New Roman" w:hAnsi="Times New Roman" w:eastAsia="方正仿宋_GBK" w:cs="Times New Roman"/>
          <w:color w:val="000000"/>
          <w:sz w:val="31"/>
          <w:szCs w:val="31"/>
        </w:rPr>
        <w:t>及派驻机构开展其他领域的联合执法；负责兵役、民兵、国防动员等人民武装工作；完善执法协调、公共法律服务、普法依法治理、网上网下联动化解网络舆情风险等机制，推动平安法治和社会治理工作落细落实。</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rPr>
        <w:t>重庆市开州区人民政府</w:t>
      </w:r>
      <w:r>
        <w:rPr>
          <w:rFonts w:hint="default" w:ascii="Times New Roman" w:hAnsi="Times New Roman" w:eastAsia="方正仿宋_GBK" w:cs="Times New Roman"/>
          <w:sz w:val="32"/>
          <w:lang w:eastAsia="zh-CN"/>
        </w:rPr>
        <w:t>丰乐</w:t>
      </w:r>
      <w:r>
        <w:rPr>
          <w:rFonts w:hint="default" w:ascii="Times New Roman" w:hAnsi="Times New Roman" w:eastAsia="方正仿宋_GBK" w:cs="Times New Roman"/>
          <w:sz w:val="32"/>
        </w:rPr>
        <w:t>街道办事处</w:t>
      </w:r>
      <w:r>
        <w:rPr>
          <w:rFonts w:hint="eastAsia" w:ascii="Times New Roman" w:hAnsi="Times New Roman" w:eastAsia="方正仿宋_GBK" w:cs="Times New Roman"/>
          <w:sz w:val="32"/>
          <w:lang w:eastAsia="zh-CN"/>
        </w:rPr>
        <w:t>（本级）</w:t>
      </w:r>
      <w:r>
        <w:rPr>
          <w:rFonts w:hint="default" w:ascii="Times New Roman" w:hAnsi="Times New Roman" w:eastAsia="方正仿宋_GBK" w:cs="Times New Roman"/>
          <w:sz w:val="32"/>
          <w:highlight w:val="none"/>
        </w:rPr>
        <w:t>内设</w:t>
      </w:r>
      <w:r>
        <w:rPr>
          <w:rFonts w:hint="default"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 xml:space="preserve"> 个机构处室</w:t>
      </w:r>
      <w:r>
        <w:rPr>
          <w:rFonts w:hint="default" w:ascii="Times New Roman" w:hAnsi="Times New Roman" w:eastAsia="方正仿宋_GBK" w:cs="Times New Roman"/>
          <w:sz w:val="32"/>
        </w:rPr>
        <w:t>，分别是基层治理综合指挥室</w:t>
      </w:r>
      <w:r>
        <w:rPr>
          <w:rFonts w:hint="default" w:ascii="Times New Roman" w:hAnsi="Times New Roman" w:eastAsia="方正仿宋_GBK" w:cs="Times New Roman"/>
          <w:sz w:val="32"/>
          <w:lang w:eastAsia="zh-CN"/>
        </w:rPr>
        <w:t>、党的建设办公室、经济发展办公室、民生服务办公室、平安法治办公室。</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jc w:val="left"/>
        <w:textAlignment w:val="auto"/>
        <w:rPr>
          <w:rFonts w:hint="default" w:ascii="Times New Roman" w:hAnsi="Times New Roman" w:cs="Times New Roman"/>
        </w:rPr>
      </w:pPr>
      <w:r>
        <w:rPr>
          <w:rFonts w:hint="default" w:ascii="Times New Roman" w:hAnsi="Times New Roman" w:eastAsia="方正仿宋_GBK" w:cs="Times New Roman"/>
          <w:kern w:val="2"/>
          <w:sz w:val="32"/>
          <w:szCs w:val="24"/>
          <w:lang w:val="en-US" w:eastAsia="zh-CN" w:bidi="ar-SA"/>
        </w:rPr>
        <w:t>从预算单位构成看，重庆市开州区人民政府丰乐街道办事处（本级）属于二级预算单位，主管单位为重庆市开州区人民政府丰乐街道办事处。</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default"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2412.66</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4</w:t>
      </w:r>
      <w:r>
        <w:rPr>
          <w:rFonts w:hint="eastAsia" w:ascii="Times New Roman" w:hAnsi="Times New Roman" w:eastAsia="方正仿宋_GBK" w:cs="Times New Roman"/>
          <w:sz w:val="32"/>
          <w:highlight w:val="none"/>
          <w:lang w:val="en-US" w:eastAsia="zh-CN"/>
        </w:rPr>
        <w:t>94</w:t>
      </w:r>
      <w:r>
        <w:rPr>
          <w:rFonts w:hint="default" w:ascii="Times New Roman" w:hAnsi="Times New Roman" w:eastAsia="方正仿宋_GBK" w:cs="Times New Roman"/>
          <w:sz w:val="32"/>
          <w:highlight w:val="none"/>
          <w:lang w:val="en-US" w:eastAsia="zh-CN"/>
        </w:rPr>
        <w:t>.32</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收入19</w:t>
      </w:r>
      <w:r>
        <w:rPr>
          <w:rFonts w:hint="default" w:ascii="Times New Roman" w:hAnsi="Times New Roman" w:eastAsia="方正仿宋_GBK" w:cs="Times New Roman"/>
          <w:sz w:val="32"/>
          <w:highlight w:val="none"/>
          <w:lang w:val="en-US" w:eastAsia="zh-CN"/>
        </w:rPr>
        <w:t>33</w:t>
      </w:r>
      <w:r>
        <w:rPr>
          <w:rFonts w:hint="default" w:ascii="Times New Roman" w:hAnsi="Times New Roman" w:eastAsia="方正仿宋_GBK" w:cs="Times New Roman"/>
          <w:sz w:val="32"/>
          <w:highlight w:val="none"/>
          <w:lang w:eastAsia="zh-CN"/>
        </w:rPr>
        <w:t>.3</w:t>
      </w:r>
      <w:r>
        <w:rPr>
          <w:rFonts w:hint="default"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 xml:space="preserve"> 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eastAsia="zh-CN"/>
        </w:rPr>
        <w:t>15</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479.32</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eastAsia="zh-CN"/>
        </w:rPr>
        <w:t>479.32</w:t>
      </w:r>
      <w:r>
        <w:rPr>
          <w:rFonts w:hint="default" w:ascii="Times New Roman" w:hAnsi="Times New Roman" w:eastAsia="方正仿宋_GBK" w:cs="Times New Roman"/>
          <w:sz w:val="32"/>
          <w:highlight w:val="none"/>
          <w:lang w:val="en-US" w:eastAsia="zh-CN"/>
        </w:rPr>
        <w:t xml:space="preserve"> </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 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减少1146.9</w:t>
      </w:r>
      <w:r>
        <w:rPr>
          <w:rFonts w:hint="default" w:ascii="Times New Roman" w:hAnsi="Times New Roman" w:eastAsia="方正仿宋_GBK" w:cs="Times New Roman"/>
          <w:sz w:val="32"/>
          <w:highlight w:val="none"/>
        </w:rPr>
        <w:t>万元。</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2412.66</w:t>
      </w:r>
      <w:r>
        <w:rPr>
          <w:rFonts w:hint="default" w:ascii="Times New Roman" w:hAnsi="Times New Roman" w:eastAsia="方正仿宋_GBK" w:cs="Times New Roman"/>
          <w:sz w:val="32"/>
          <w:highlight w:val="none"/>
        </w:rPr>
        <w:t>万元，其中：一般公共服务支出预算</w:t>
      </w:r>
      <w:r>
        <w:rPr>
          <w:rFonts w:hint="default" w:ascii="Times New Roman" w:hAnsi="Times New Roman" w:eastAsia="方正仿宋_GBK" w:cs="Times New Roman"/>
          <w:sz w:val="32"/>
          <w:highlight w:val="none"/>
          <w:lang w:val="en-US" w:eastAsia="zh-CN"/>
        </w:rPr>
        <w:t>785.32</w:t>
      </w:r>
      <w:r>
        <w:rPr>
          <w:rFonts w:hint="default" w:ascii="Times New Roman" w:hAnsi="Times New Roman" w:eastAsia="方正仿宋_GBK" w:cs="Times New Roman"/>
          <w:sz w:val="32"/>
          <w:highlight w:val="none"/>
        </w:rPr>
        <w:t>万元，社会保障和就业支出预算</w:t>
      </w:r>
      <w:r>
        <w:rPr>
          <w:rFonts w:hint="default" w:ascii="Times New Roman" w:hAnsi="Times New Roman" w:eastAsia="方正仿宋_GBK" w:cs="Times New Roman"/>
          <w:sz w:val="32"/>
          <w:highlight w:val="none"/>
          <w:lang w:val="en-US" w:eastAsia="zh-CN"/>
        </w:rPr>
        <w:t>279.82</w:t>
      </w:r>
      <w:r>
        <w:rPr>
          <w:rFonts w:hint="default" w:ascii="Times New Roman" w:hAnsi="Times New Roman" w:eastAsia="方正仿宋_GBK" w:cs="Times New Roman"/>
          <w:sz w:val="32"/>
          <w:highlight w:val="none"/>
        </w:rPr>
        <w:t>万元，卫生健康支出预算</w:t>
      </w:r>
      <w:r>
        <w:rPr>
          <w:rFonts w:hint="default" w:ascii="Times New Roman" w:hAnsi="Times New Roman" w:eastAsia="方正仿宋_GBK" w:cs="Times New Roman"/>
          <w:sz w:val="32"/>
          <w:highlight w:val="none"/>
          <w:lang w:val="en-US" w:eastAsia="zh-CN"/>
        </w:rPr>
        <w:t>74.66</w:t>
      </w:r>
      <w:r>
        <w:rPr>
          <w:rFonts w:hint="default" w:ascii="Times New Roman" w:hAnsi="Times New Roman" w:eastAsia="方正仿宋_GBK" w:cs="Times New Roman"/>
          <w:sz w:val="32"/>
          <w:highlight w:val="none"/>
        </w:rPr>
        <w:t>元，</w:t>
      </w:r>
      <w:r>
        <w:rPr>
          <w:rFonts w:hint="default" w:ascii="Times New Roman" w:hAnsi="Times New Roman" w:eastAsia="方正仿宋_GBK" w:cs="Times New Roman"/>
          <w:sz w:val="32"/>
          <w:highlight w:val="none"/>
          <w:lang w:val="en-US" w:eastAsia="zh-CN"/>
        </w:rPr>
        <w:t>节能环保支出预算55.54万元，城乡社区支出预算150万元，农林水支出预算993.96万元，</w:t>
      </w:r>
      <w:r>
        <w:rPr>
          <w:rFonts w:hint="default" w:ascii="Times New Roman" w:hAnsi="Times New Roman" w:eastAsia="方正仿宋_GBK" w:cs="Times New Roman"/>
          <w:sz w:val="32"/>
          <w:highlight w:val="none"/>
        </w:rPr>
        <w:t>住房保障支出预算</w:t>
      </w:r>
      <w:r>
        <w:rPr>
          <w:rFonts w:hint="default" w:ascii="Times New Roman" w:hAnsi="Times New Roman" w:eastAsia="方正仿宋_GBK" w:cs="Times New Roman"/>
          <w:sz w:val="32"/>
          <w:highlight w:val="none"/>
          <w:lang w:val="en-US" w:eastAsia="zh-CN"/>
        </w:rPr>
        <w:t>73.36</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eastAsia="zh-CN"/>
        </w:rPr>
        <w:t>减少</w:t>
      </w:r>
      <w:r>
        <w:rPr>
          <w:rFonts w:hint="default" w:ascii="Times New Roman" w:hAnsi="Times New Roman" w:eastAsia="方正仿宋_GBK" w:cs="Times New Roman"/>
          <w:sz w:val="32"/>
          <w:highlight w:val="none"/>
          <w:lang w:val="en-US" w:eastAsia="zh-CN"/>
        </w:rPr>
        <w:t xml:space="preserve"> 1164.9</w:t>
      </w:r>
      <w:r>
        <w:rPr>
          <w:rFonts w:hint="default" w:ascii="Times New Roman" w:hAnsi="Times New Roman" w:eastAsia="方正仿宋_GBK" w:cs="Times New Roman"/>
          <w:sz w:val="32"/>
          <w:highlight w:val="none"/>
        </w:rPr>
        <w:t xml:space="preserve"> 万元，主要是基本支出预算</w:t>
      </w:r>
      <w:r>
        <w:rPr>
          <w:rFonts w:hint="default" w:ascii="Times New Roman" w:hAnsi="Times New Roman" w:eastAsia="方正仿宋_GBK" w:cs="Times New Roman"/>
          <w:sz w:val="32"/>
          <w:highlight w:val="none"/>
          <w:lang w:val="en-US" w:eastAsia="zh-CN"/>
        </w:rPr>
        <w:t>减少1071.73</w:t>
      </w:r>
      <w:r>
        <w:rPr>
          <w:rFonts w:hint="default" w:ascii="Times New Roman" w:hAnsi="Times New Roman" w:eastAsia="方正仿宋_GBK" w:cs="Times New Roman"/>
          <w:sz w:val="32"/>
          <w:highlight w:val="none"/>
        </w:rPr>
        <w:t>万元，项目支出预算</w:t>
      </w:r>
      <w:r>
        <w:rPr>
          <w:rFonts w:hint="default" w:ascii="Times New Roman" w:hAnsi="Times New Roman" w:eastAsia="方正仿宋_GBK" w:cs="Times New Roman"/>
          <w:sz w:val="32"/>
          <w:highlight w:val="none"/>
          <w:lang w:val="en-US" w:eastAsia="zh-CN"/>
        </w:rPr>
        <w:t>减少93.17</w:t>
      </w:r>
      <w:r>
        <w:rPr>
          <w:rFonts w:hint="default" w:ascii="Times New Roman" w:hAnsi="Times New Roman" w:eastAsia="方正仿宋_GBK" w:cs="Times New Roman"/>
          <w:sz w:val="32"/>
          <w:highlight w:val="none"/>
        </w:rPr>
        <w:t>万元。由于四舍五入因素，部分分项加和</w:t>
      </w:r>
      <w:r>
        <w:rPr>
          <w:rFonts w:hint="default" w:ascii="Times New Roman" w:hAnsi="Times New Roman" w:eastAsia="方正仿宋_GBK" w:cs="Times New Roman"/>
          <w:sz w:val="32"/>
          <w:highlight w:val="none"/>
          <w:lang w:val="en-US" w:eastAsia="zh-CN"/>
        </w:rPr>
        <w:t>与</w:t>
      </w:r>
      <w:r>
        <w:rPr>
          <w:rFonts w:hint="default" w:ascii="Times New Roman" w:hAnsi="Times New Roman" w:eastAsia="方正仿宋_GBK" w:cs="Times New Roman"/>
          <w:sz w:val="32"/>
          <w:highlight w:val="none"/>
        </w:rPr>
        <w:t>总计可能略有差异，下同。</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default"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default" w:ascii="Times New Roman" w:hAnsi="Times New Roman" w:eastAsia="方正仿宋_GBK" w:cs="Times New Roman"/>
          <w:sz w:val="32"/>
          <w:highlight w:val="none"/>
          <w:lang w:val="en-US" w:eastAsia="zh-CN"/>
        </w:rPr>
        <w:t>1933.34</w:t>
      </w:r>
      <w:r>
        <w:rPr>
          <w:rFonts w:hint="default" w:ascii="Times New Roman" w:hAnsi="Times New Roman" w:eastAsia="方正仿宋_GBK" w:cs="Times New Roman"/>
          <w:sz w:val="32"/>
          <w:highlight w:val="none"/>
        </w:rPr>
        <w:t>万元，一般公共预算财政拨款支出</w:t>
      </w:r>
      <w:r>
        <w:rPr>
          <w:rFonts w:hint="default" w:ascii="Times New Roman" w:hAnsi="Times New Roman" w:eastAsia="方正仿宋_GBK" w:cs="Times New Roman"/>
          <w:sz w:val="32"/>
          <w:highlight w:val="none"/>
          <w:lang w:val="en-US" w:eastAsia="zh-CN"/>
        </w:rPr>
        <w:t>1933.34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840.76</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sz w:val="32"/>
          <w:highlight w:val="none"/>
          <w:lang w:val="en-US" w:eastAsia="zh-CN"/>
        </w:rPr>
        <w:t>1559.76</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1071.73</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因下属事业单位按要求单独核算，2026年下属事业单位单独预算形成减少等</w:t>
      </w:r>
      <w:r>
        <w:rPr>
          <w:rFonts w:hint="default" w:ascii="Times New Roman" w:hAnsi="Times New Roman" w:eastAsia="方正仿宋_GBK" w:cs="Times New Roman"/>
          <w:sz w:val="32"/>
          <w:highlight w:val="none"/>
        </w:rPr>
        <w:t>，主要用于保障在职人员工资福利及社会保险缴费，离休人员离休费，退休人员补助等，保障</w:t>
      </w:r>
      <w:r>
        <w:rPr>
          <w:rFonts w:hint="default"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default" w:ascii="Times New Roman" w:hAnsi="Times New Roman" w:eastAsia="方正仿宋_GBK" w:cs="Times New Roman"/>
          <w:sz w:val="32"/>
          <w:highlight w:val="none"/>
          <w:lang w:val="en-US" w:eastAsia="zh-CN"/>
        </w:rPr>
        <w:t>373.58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eastAsia="zh-CN"/>
        </w:rPr>
        <w:t>增加</w:t>
      </w:r>
      <w:r>
        <w:rPr>
          <w:rFonts w:hint="default" w:ascii="Times New Roman" w:hAnsi="Times New Roman" w:eastAsia="方正仿宋_GBK" w:cs="Times New Roman"/>
          <w:sz w:val="32"/>
          <w:highlight w:val="none"/>
          <w:lang w:val="en-US" w:eastAsia="zh-CN"/>
        </w:rPr>
        <w:t>230.97</w:t>
      </w:r>
      <w:r>
        <w:rPr>
          <w:rFonts w:hint="default" w:ascii="Times New Roman" w:hAnsi="Times New Roman" w:eastAsia="方正仿宋_GBK" w:cs="Times New Roman"/>
          <w:sz w:val="32"/>
          <w:highlight w:val="none"/>
        </w:rPr>
        <w:t>万元，主要</w:t>
      </w:r>
      <w:r>
        <w:rPr>
          <w:rFonts w:hint="default" w:ascii="Times New Roman" w:hAnsi="Times New Roman" w:eastAsia="方正仿宋_GBK" w:cs="Times New Roman"/>
          <w:sz w:val="32"/>
          <w:highlight w:val="none"/>
          <w:lang w:val="en-US" w:eastAsia="zh-CN"/>
        </w:rPr>
        <w:t>是增加一般公共预算项目。</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年政府性基金预算财政拨款收入</w:t>
      </w:r>
      <w:r>
        <w:rPr>
          <w:rFonts w:hint="default" w:ascii="Times New Roman" w:hAnsi="Times New Roman" w:eastAsia="方正仿宋_GBK" w:cs="Times New Roman"/>
          <w:sz w:val="32"/>
          <w:highlight w:val="none"/>
          <w:lang w:val="en-US" w:eastAsia="zh-CN"/>
        </w:rPr>
        <w:t>479.32</w:t>
      </w:r>
      <w:r>
        <w:rPr>
          <w:rFonts w:hint="default" w:ascii="Times New Roman" w:hAnsi="Times New Roman" w:eastAsia="方正仿宋_GBK" w:cs="Times New Roman"/>
          <w:sz w:val="32"/>
          <w:highlight w:val="none"/>
        </w:rPr>
        <w:t>万元，政府性基金预算财政拨款支出</w:t>
      </w:r>
      <w:r>
        <w:rPr>
          <w:rFonts w:hint="default" w:ascii="Times New Roman" w:hAnsi="Times New Roman" w:eastAsia="方正仿宋_GBK" w:cs="Times New Roman"/>
          <w:sz w:val="32"/>
          <w:highlight w:val="none"/>
          <w:lang w:val="en-US" w:eastAsia="zh-CN"/>
        </w:rPr>
        <w:t>479.32</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324.14</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减少政府性基金预算。</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kinsoku/>
        <w:wordWrap/>
        <w:overflowPunct/>
        <w:topLinePunct w:val="0"/>
        <w:autoSpaceDE/>
        <w:autoSpaceDN/>
        <w:bidi w:val="0"/>
        <w:adjustRightInd/>
        <w:snapToGrid/>
        <w:spacing w:line="594" w:lineRule="exact"/>
        <w:ind w:left="0" w:firstLine="600"/>
        <w:textAlignment w:val="auto"/>
        <w:rPr>
          <w:rFonts w:hint="default" w:ascii="Times New Roman" w:hAnsi="Times New Roman" w:eastAsia="方正仿宋_GBK" w:cs="Times New Roman"/>
          <w:sz w:val="32"/>
          <w:highlight w:val="none"/>
          <w:lang w:val="en-US"/>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default"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无变化</w:t>
      </w:r>
      <w:r>
        <w:rPr>
          <w:rFonts w:hint="default" w:ascii="Times New Roman" w:hAnsi="Times New Roman" w:eastAsia="方正仿宋_GBK" w:cs="Times New Roman"/>
          <w:sz w:val="32"/>
          <w:highlight w:val="none"/>
        </w:rPr>
        <w:t>。其中：因公出国（境）费用</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无变化</w:t>
      </w:r>
      <w:r>
        <w:rPr>
          <w:rFonts w:hint="default" w:ascii="Times New Roman" w:hAnsi="Times New Roman" w:eastAsia="方正仿宋_GBK" w:cs="Times New Roman"/>
          <w:sz w:val="32"/>
          <w:highlight w:val="none"/>
        </w:rPr>
        <w:t>；公务接待费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无变化</w:t>
      </w:r>
      <w:r>
        <w:rPr>
          <w:rFonts w:hint="default" w:ascii="Times New Roman" w:hAnsi="Times New Roman" w:eastAsia="方正仿宋_GBK" w:cs="Times New Roman"/>
          <w:sz w:val="32"/>
          <w:highlight w:val="none"/>
        </w:rPr>
        <w:t>；公务用车运行维护费</w:t>
      </w:r>
      <w:r>
        <w:rPr>
          <w:rFonts w:hint="default"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无变化</w:t>
      </w:r>
      <w:r>
        <w:rPr>
          <w:rFonts w:hint="default" w:ascii="Times New Roman" w:hAnsi="Times New Roman" w:eastAsia="方正仿宋_GBK" w:cs="Times New Roman"/>
          <w:sz w:val="32"/>
          <w:highlight w:val="none"/>
        </w:rPr>
        <w:t>；公务用车购置费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无变化</w:t>
      </w:r>
      <w:r>
        <w:rPr>
          <w:rFonts w:hint="default" w:ascii="Times New Roman" w:hAnsi="Times New Roman" w:eastAsia="方正仿宋_GBK" w:cs="Times New Roman"/>
          <w:sz w:val="32"/>
          <w:highlight w:val="none"/>
        </w:rPr>
        <w:t>。</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szCs w:val="32"/>
          <w:highlight w:val="none"/>
        </w:rPr>
        <w:t>（一）机关运行经费。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w:t>
      </w:r>
      <w:r>
        <w:rPr>
          <w:rFonts w:hint="default" w:ascii="Times New Roman" w:hAnsi="Times New Roman" w:eastAsia="方正仿宋_GBK" w:cs="Times New Roman"/>
          <w:sz w:val="32"/>
          <w:highlight w:val="none"/>
          <w:lang w:val="en-US" w:eastAsia="zh-CN"/>
        </w:rPr>
        <w:t>452.79</w:t>
      </w:r>
      <w:r>
        <w:rPr>
          <w:rFonts w:hint="default" w:ascii="Times New Roman" w:hAnsi="Times New Roman" w:eastAsia="方正仿宋_GBK" w:cs="Times New Roman"/>
          <w:sz w:val="32"/>
          <w:highlight w:val="none"/>
        </w:rPr>
        <w:t>万元，比上年</w:t>
      </w:r>
      <w:r>
        <w:rPr>
          <w:rFonts w:hint="default" w:ascii="Times New Roman" w:hAnsi="Times New Roman" w:eastAsia="方正仿宋_GBK" w:cs="Times New Roman"/>
          <w:sz w:val="32"/>
          <w:highlight w:val="none"/>
          <w:lang w:val="en-US" w:eastAsia="zh-CN"/>
        </w:rPr>
        <w:t>减少114.55</w:t>
      </w:r>
      <w:r>
        <w:rPr>
          <w:rFonts w:hint="default" w:ascii="Times New Roman" w:hAnsi="Times New Roman" w:eastAsia="方正仿宋_GBK" w:cs="Times New Roman"/>
          <w:sz w:val="32"/>
          <w:highlight w:val="none"/>
        </w:rPr>
        <w:t>万元，主要原因为</w:t>
      </w:r>
      <w:r>
        <w:rPr>
          <w:rFonts w:hint="default" w:ascii="Times New Roman" w:hAnsi="Times New Roman" w:eastAsia="方正仿宋_GBK" w:cs="Times New Roman"/>
          <w:sz w:val="32"/>
          <w:highlight w:val="none"/>
          <w:lang w:val="en-US" w:eastAsia="zh-CN"/>
        </w:rPr>
        <w:t>下属事业单位单独预算</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rPr>
        <w:t>二）政府采购情况。</w:t>
      </w:r>
      <w:r>
        <w:rPr>
          <w:rFonts w:hint="default" w:ascii="Times New Roman" w:hAnsi="Times New Roman" w:eastAsia="方正仿宋_GBK" w:cs="Times New Roman"/>
          <w:sz w:val="32"/>
          <w:highlight w:val="none"/>
        </w:rPr>
        <w:t>所属各预算单位政府采购预算总额</w:t>
      </w:r>
      <w:r>
        <w:rPr>
          <w:rFonts w:hint="default" w:ascii="Times New Roman" w:hAnsi="Times New Roman" w:eastAsia="方正仿宋_GBK" w:cs="Times New Roman"/>
          <w:sz w:val="32"/>
          <w:highlight w:val="none"/>
          <w:lang w:val="en-US" w:eastAsia="zh-CN"/>
        </w:rPr>
        <w:t>10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10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10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10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default" w:ascii="Times New Roman" w:hAnsi="Times New Roman" w:eastAsia="方正仿宋_GBK" w:cs="Times New Roman"/>
          <w:color w:val="000000"/>
          <w:sz w:val="32"/>
          <w:highlight w:val="none"/>
          <w:lang w:val="en-US" w:eastAsia="zh-CN"/>
        </w:rPr>
        <w:t>373.58</w:t>
      </w:r>
      <w:r>
        <w:rPr>
          <w:rFonts w:hint="default" w:ascii="Times New Roman" w:hAnsi="Times New Roman" w:eastAsia="方正仿宋_GBK" w:cs="Times New Roman"/>
          <w:color w:val="000000"/>
          <w:sz w:val="32"/>
          <w:highlight w:val="none"/>
        </w:rPr>
        <w:t>万元。</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w:t>
      </w:r>
      <w:r>
        <w:rPr>
          <w:rFonts w:hint="eastAsia" w:ascii="Times New Roman" w:hAnsi="Times New Roman" w:eastAsia="方正仿宋_GBK" w:cs="Times New Roman"/>
          <w:color w:val="000000"/>
          <w:sz w:val="32"/>
          <w:highlight w:val="none"/>
          <w:lang w:val="en-US" w:eastAsia="zh-CN"/>
        </w:rPr>
        <w:t>各</w:t>
      </w:r>
      <w:r>
        <w:rPr>
          <w:rFonts w:hint="default" w:ascii="Times New Roman" w:hAnsi="Times New Roman" w:eastAsia="方正仿宋_GBK" w:cs="Times New Roman"/>
          <w:color w:val="000000"/>
          <w:sz w:val="32"/>
          <w:highlight w:val="none"/>
        </w:rPr>
        <w:t>预算单位共有车辆</w:t>
      </w:r>
      <w:r>
        <w:rPr>
          <w:rFonts w:hint="default" w:ascii="Times New Roman" w:hAnsi="Times New Roman" w:eastAsia="方正仿宋_GBK" w:cs="Times New Roman"/>
          <w:color w:val="000000"/>
          <w:sz w:val="32"/>
          <w:highlight w:val="none"/>
          <w:lang w:val="en-US" w:eastAsia="zh-CN"/>
        </w:rPr>
        <w:t>3</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eastAsia="zh-CN"/>
        </w:rPr>
        <w:t>、</w:t>
      </w:r>
      <w:r>
        <w:rPr>
          <w:rFonts w:hint="default" w:ascii="Times New Roman" w:hAnsi="Times New Roman" w:eastAsia="方正仿宋_GBK" w:cs="Times New Roman"/>
          <w:color w:val="000000"/>
          <w:sz w:val="32"/>
          <w:highlight w:val="none"/>
          <w:lang w:val="en-US" w:eastAsia="zh-CN"/>
        </w:rPr>
        <w:t>应急保障用车3辆</w:t>
      </w:r>
      <w:r>
        <w:rPr>
          <w:rFonts w:hint="default" w:ascii="Times New Roman" w:hAnsi="Times New Roman" w:eastAsia="方正仿宋_GBK" w:cs="Times New Roman"/>
          <w:color w:val="000000"/>
          <w:sz w:val="32"/>
          <w:highlight w:val="none"/>
        </w:rPr>
        <w:t>。</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highlight w:val="none"/>
        </w:rPr>
        <w:t>六、专业性名词解释</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取得的财政拨款，包括一般公共预算财政拨款和政府性基金预算财政拨款。</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default" w:ascii="Times New Roman" w:hAnsi="Times New Roman" w:eastAsia="方正仿宋_GBK" w:cs="Times New Roman"/>
          <w:sz w:val="32"/>
          <w:szCs w:val="32"/>
          <w:highlight w:val="none"/>
          <w:lang w:val="en-US" w:eastAsia="zh-CN"/>
        </w:rPr>
        <w:t>重庆市开州区人民政府丰乐街道办事处（本级）2026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default" w:ascii="Times New Roman" w:hAnsi="Times New Roman" w:eastAsia="方正仿宋_GBK" w:cs="Times New Roman"/>
          <w:sz w:val="32"/>
          <w:szCs w:val="32"/>
          <w:highlight w:val="none"/>
          <w:lang w:val="en-US" w:eastAsia="zh-CN"/>
        </w:rPr>
        <w:t>范冬冬</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联系方式：023-</w:t>
      </w:r>
      <w:r>
        <w:rPr>
          <w:rFonts w:hint="default" w:ascii="Times New Roman" w:hAnsi="Times New Roman" w:eastAsia="方正仿宋_GBK" w:cs="Times New Roman"/>
          <w:sz w:val="32"/>
          <w:szCs w:val="32"/>
          <w:highlight w:val="none"/>
          <w:lang w:val="en-US" w:eastAsia="zh-CN"/>
        </w:rPr>
        <w:t>52291925</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重庆市开州区人民政府丰乐街道办事处</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方正仿宋_GBK"/>
          <w:b w:val="0"/>
          <w:bCs w:val="0"/>
          <w:spacing w:val="0"/>
          <w:kern w:val="2"/>
          <w:sz w:val="28"/>
          <w:szCs w:val="28"/>
          <w:lang w:val="en-US" w:eastAsia="zh-CN" w:bidi="ar-SA"/>
        </w:rPr>
      </w:pPr>
      <w:r>
        <w:rPr>
          <w:rFonts w:hint="eastAsia" w:ascii="Times New Roman" w:hAnsi="Times New Roman" w:eastAsia="方正仿宋_GBK"/>
          <w:snapToGrid w:val="0"/>
          <w:spacing w:val="0"/>
          <w:kern w:val="0"/>
          <w:sz w:val="28"/>
        </w:rPr>
        <w:t>重庆市开州区</w:t>
      </w:r>
      <w:r>
        <w:rPr>
          <w:rFonts w:hint="eastAsia" w:ascii="Times New Roman" w:hAnsi="Times New Roman" w:eastAsia="方正仿宋_GBK"/>
          <w:snapToGrid w:val="0"/>
          <w:spacing w:val="0"/>
          <w:kern w:val="0"/>
          <w:sz w:val="28"/>
          <w:lang w:eastAsia="zh-CN"/>
        </w:rPr>
        <w:t>丰乐街道基层治理综合指挥室</w:t>
      </w:r>
      <w:r>
        <w:rPr>
          <w:rFonts w:hint="eastAsia" w:eastAsia="方正仿宋_GBK"/>
          <w:snapToGrid w:val="0"/>
          <w:spacing w:val="0"/>
          <w:kern w:val="0"/>
          <w:sz w:val="28"/>
          <w:lang w:val="en-US" w:eastAsia="zh-CN"/>
        </w:rPr>
        <w:t xml:space="preserve"> </w:t>
      </w:r>
      <w:r>
        <w:rPr>
          <w:rFonts w:hint="eastAsia" w:ascii="Times New Roman" w:hAnsi="Times New Roman" w:eastAsia="方正仿宋_GBK"/>
          <w:snapToGrid w:val="0"/>
          <w:spacing w:val="0"/>
          <w:kern w:val="0"/>
          <w:sz w:val="28"/>
          <w:lang w:val="en-US" w:eastAsia="zh-CN"/>
        </w:rPr>
        <w:t xml:space="preserve"> </w:t>
      </w:r>
      <w:r>
        <w:rPr>
          <w:rFonts w:hint="eastAsia" w:ascii="Times New Roman" w:hAnsi="Times New Roman"/>
          <w:snapToGrid w:val="0"/>
          <w:spacing w:val="0"/>
          <w:kern w:val="0"/>
          <w:sz w:val="28"/>
          <w:lang w:val="en-US" w:eastAsia="zh-CN"/>
        </w:rPr>
        <w:t xml:space="preserve">   </w:t>
      </w:r>
      <w:r>
        <w:rPr>
          <w:rFonts w:hint="eastAsia" w:ascii="Times New Roman" w:hAnsi="Times New Roman" w:eastAsia="方正仿宋_GBK" w:cs="方正仿宋_GBK"/>
          <w:snapToGrid w:val="0"/>
          <w:spacing w:val="0"/>
          <w:kern w:val="0"/>
          <w:sz w:val="28"/>
        </w:rPr>
        <w:t>20</w:t>
      </w:r>
      <w:r>
        <w:rPr>
          <w:rFonts w:hint="eastAsia" w:ascii="Times New Roman" w:hAnsi="Times New Roman" w:cs="方正仿宋_GBK"/>
          <w:snapToGrid w:val="0"/>
          <w:spacing w:val="0"/>
          <w:kern w:val="0"/>
          <w:sz w:val="28"/>
          <w:lang w:val="en-US" w:eastAsia="zh-CN"/>
        </w:rPr>
        <w:t>2</w:t>
      </w:r>
      <w:r>
        <w:rPr>
          <w:rFonts w:hint="eastAsia" w:cs="方正仿宋_GBK"/>
          <w:snapToGrid w:val="0"/>
          <w:spacing w:val="0"/>
          <w:kern w:val="0"/>
          <w:sz w:val="28"/>
          <w:lang w:val="en-US" w:eastAsia="zh-CN"/>
        </w:rPr>
        <w:t>6</w:t>
      </w:r>
      <w:r>
        <w:rPr>
          <w:rFonts w:hint="eastAsia" w:ascii="Times New Roman" w:hAnsi="Times New Roman" w:eastAsia="方正仿宋_GBK" w:cs="方正仿宋_GBK"/>
          <w:snapToGrid w:val="0"/>
          <w:spacing w:val="0"/>
          <w:kern w:val="0"/>
          <w:sz w:val="28"/>
        </w:rPr>
        <w:t>年</w:t>
      </w:r>
      <w:r>
        <w:rPr>
          <w:rFonts w:hint="eastAsia" w:ascii="Times New Roman" w:hAnsi="Times New Roman" w:cs="方正仿宋_GBK"/>
          <w:snapToGrid w:val="0"/>
          <w:spacing w:val="0"/>
          <w:kern w:val="0"/>
          <w:sz w:val="28"/>
          <w:lang w:val="en-US" w:eastAsia="zh-CN"/>
        </w:rPr>
        <w:t>3</w:t>
      </w:r>
      <w:r>
        <w:rPr>
          <w:rFonts w:hint="eastAsia" w:ascii="Times New Roman" w:hAnsi="Times New Roman" w:eastAsia="方正仿宋_GBK" w:cs="方正仿宋_GBK"/>
          <w:snapToGrid w:val="0"/>
          <w:spacing w:val="0"/>
          <w:kern w:val="0"/>
          <w:sz w:val="28"/>
        </w:rPr>
        <w:t>月</w:t>
      </w:r>
      <w:r>
        <w:rPr>
          <w:rFonts w:hint="eastAsia" w:cs="方正仿宋_GBK"/>
          <w:snapToGrid w:val="0"/>
          <w:spacing w:val="0"/>
          <w:kern w:val="0"/>
          <w:sz w:val="28"/>
          <w:lang w:val="en-US" w:eastAsia="zh-CN"/>
        </w:rPr>
        <w:t>11</w:t>
      </w:r>
      <w:r>
        <w:rPr>
          <w:rFonts w:hint="eastAsia" w:ascii="Times New Roman" w:hAnsi="Times New Roman" w:eastAsia="方正仿宋_GBK" w:cs="方正仿宋_GBK"/>
          <w:snapToGrid w:val="0"/>
          <w:spacing w:val="0"/>
          <w:kern w:val="0"/>
          <w:sz w:val="28"/>
        </w:rPr>
        <w:t>日印发</w:t>
      </w:r>
      <w:r>
        <w:rPr>
          <w:rFonts w:hint="eastAsia" w:ascii="Times New Roman" w:hAnsi="Times New Roman" w:eastAsia="方正仿宋_GBK" w:cs="方正仿宋_GBK"/>
          <w:snapToGrid w:val="0"/>
          <w:spacing w:val="0"/>
          <w:kern w:val="0"/>
          <w:sz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5737860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1.8pt;height:0pt;width:441pt;z-index:251662336;mso-width-relative:page;mso-height-relative:page;" filled="f" stroked="t" coordsize="21600,21600" o:gfxdata="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ovl81wAAAAsBAAAPAAAAAAAAAAEAIAAAACIAAABkcnMvZG93bnJldi54bWxQSwEC&#10;FAAUAAAACACHTuJAxbOwk/UBAADkAwAADgAAAAAAAAABACAAAAAmAQAAZHJzL2Uyb0RvYy54bWxQ&#10;SwUGAAAAAAYABgBZAQAAjQUAAAAA&#10;">
                <v:fill on="f" focussize="0,0"/>
                <v:stroke color="#000000" joinstyle="round"/>
                <v:imagedata o:title=""/>
                <o:lock v:ext="edit" aspectratio="f"/>
              </v:line>
            </w:pict>
          </mc:Fallback>
        </mc:AlternateContent>
      </w:r>
      <w:r>
        <w:rPr>
          <w:rFonts w:hint="eastAsia" w:ascii="Times New Roman" w:hAnsi="Times New Roman" w:eastAsia="方正仿宋_GBK" w:cs="方正仿宋_GBK"/>
          <w:snapToGrid w:val="0"/>
          <w:spacing w:val="0"/>
          <w:kern w:val="0"/>
          <w:sz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5737860</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1.8pt;height:0pt;width:441pt;z-index:251661312;mso-width-relative:page;mso-height-relative:page;" filled="f" stroked="t" coordsize="21600,21600" o:gfxdata="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ovl81wAAAAsBAAAPAAAAAAAAAAEAIAAAACIAAABkcnMvZG93bnJldi54bWxQSwEC&#10;FAAUAAAACACHTuJA86T8SvUBAADkAwAADgAAAAAAAAABACAAAAAmAQAAZHJzL2Uyb0RvYy54bWxQ&#10;SwUGAAAAAAYABgBZAQAAjQUAAAAA&#10;">
                <v:fill on="f" focussize="0,0"/>
                <v:stroke color="#000000" joinstyle="round"/>
                <v:imagedata o:title=""/>
                <o:lock v:ext="edit" aspectratio="f"/>
              </v:line>
            </w:pict>
          </mc:Fallback>
        </mc:AlternateConten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imes New Roman Bold">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07165AE"/>
    <w:rsid w:val="025A4B3C"/>
    <w:rsid w:val="05151950"/>
    <w:rsid w:val="05210AE8"/>
    <w:rsid w:val="061340E1"/>
    <w:rsid w:val="066C37F1"/>
    <w:rsid w:val="085B4429"/>
    <w:rsid w:val="08A2174C"/>
    <w:rsid w:val="09DB3168"/>
    <w:rsid w:val="0AAC0660"/>
    <w:rsid w:val="0C0F70F9"/>
    <w:rsid w:val="0CFB4A5F"/>
    <w:rsid w:val="0D22155F"/>
    <w:rsid w:val="0DFA52C7"/>
    <w:rsid w:val="0ED05BE0"/>
    <w:rsid w:val="10806817"/>
    <w:rsid w:val="10FD1C16"/>
    <w:rsid w:val="12371430"/>
    <w:rsid w:val="15DE5E85"/>
    <w:rsid w:val="169A7F07"/>
    <w:rsid w:val="1723709E"/>
    <w:rsid w:val="1A7E53C6"/>
    <w:rsid w:val="1B1D18B0"/>
    <w:rsid w:val="1DAB1346"/>
    <w:rsid w:val="1DFC3255"/>
    <w:rsid w:val="1E1B05F6"/>
    <w:rsid w:val="1E562965"/>
    <w:rsid w:val="1EDF0BAD"/>
    <w:rsid w:val="2181419D"/>
    <w:rsid w:val="22B83BEE"/>
    <w:rsid w:val="25932478"/>
    <w:rsid w:val="28B11492"/>
    <w:rsid w:val="2B116592"/>
    <w:rsid w:val="2C24182D"/>
    <w:rsid w:val="2D9623E4"/>
    <w:rsid w:val="2DEB6B09"/>
    <w:rsid w:val="2EB801FB"/>
    <w:rsid w:val="3021268A"/>
    <w:rsid w:val="302A68C3"/>
    <w:rsid w:val="33C17C11"/>
    <w:rsid w:val="356A5862"/>
    <w:rsid w:val="35713815"/>
    <w:rsid w:val="366307E3"/>
    <w:rsid w:val="37AB38CA"/>
    <w:rsid w:val="3890506C"/>
    <w:rsid w:val="3ACD7848"/>
    <w:rsid w:val="3B181276"/>
    <w:rsid w:val="3B385190"/>
    <w:rsid w:val="3B660C67"/>
    <w:rsid w:val="3EAA5FEF"/>
    <w:rsid w:val="3F5860E5"/>
    <w:rsid w:val="3FDF05B5"/>
    <w:rsid w:val="40596A0B"/>
    <w:rsid w:val="406C7923"/>
    <w:rsid w:val="42957651"/>
    <w:rsid w:val="47E31DBD"/>
    <w:rsid w:val="48343468"/>
    <w:rsid w:val="4AE91781"/>
    <w:rsid w:val="4C285091"/>
    <w:rsid w:val="4DCB203A"/>
    <w:rsid w:val="4E0A42A5"/>
    <w:rsid w:val="4FFA0AF3"/>
    <w:rsid w:val="506A211C"/>
    <w:rsid w:val="517C31F9"/>
    <w:rsid w:val="53424C8B"/>
    <w:rsid w:val="53713144"/>
    <w:rsid w:val="570A1F63"/>
    <w:rsid w:val="59534961"/>
    <w:rsid w:val="5975743C"/>
    <w:rsid w:val="5A961BCC"/>
    <w:rsid w:val="5CC85020"/>
    <w:rsid w:val="5D6D6DA8"/>
    <w:rsid w:val="5F090D52"/>
    <w:rsid w:val="5FD5DE76"/>
    <w:rsid w:val="5FF362FA"/>
    <w:rsid w:val="600807B0"/>
    <w:rsid w:val="600D093F"/>
    <w:rsid w:val="64F820F3"/>
    <w:rsid w:val="67302D72"/>
    <w:rsid w:val="675F1167"/>
    <w:rsid w:val="67DF6E3B"/>
    <w:rsid w:val="67FD5096"/>
    <w:rsid w:val="68B691C8"/>
    <w:rsid w:val="69110C93"/>
    <w:rsid w:val="6B120F8F"/>
    <w:rsid w:val="6F66653D"/>
    <w:rsid w:val="71512AF5"/>
    <w:rsid w:val="715A71EC"/>
    <w:rsid w:val="71AC73C6"/>
    <w:rsid w:val="739C1814"/>
    <w:rsid w:val="73D9388C"/>
    <w:rsid w:val="754174D8"/>
    <w:rsid w:val="75660855"/>
    <w:rsid w:val="766D53A4"/>
    <w:rsid w:val="77194EB5"/>
    <w:rsid w:val="77926E25"/>
    <w:rsid w:val="785D34B0"/>
    <w:rsid w:val="791E16C2"/>
    <w:rsid w:val="7B86755B"/>
    <w:rsid w:val="7C436D40"/>
    <w:rsid w:val="7CCC41FB"/>
    <w:rsid w:val="7FD06A75"/>
    <w:rsid w:val="7FDC779B"/>
    <w:rsid w:val="7FF7067F"/>
    <w:rsid w:val="DFAF730C"/>
    <w:rsid w:val="DFDF0FC7"/>
    <w:rsid w:val="F77F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3788</Words>
  <Characters>4080</Characters>
  <Lines>0</Lines>
  <Paragraphs>0</Paragraphs>
  <TotalTime>15</TotalTime>
  <ScaleCrop>false</ScaleCrop>
  <LinksUpToDate>false</LinksUpToDate>
  <CharactersWithSpaces>4127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2026-02-04T17:56:00Z</dcterms:created>
  <dc:creator>Administrator</dc:creator>
  <cp:lastModifiedBy>冉浩田</cp:lastModifiedBy>
  <cp:lastPrinted>2026-03-01T10:21:00Z</cp:lastPrinted>
  <dcterms:modified xsi:type="dcterms:W3CDTF">2026-03-11T08:59:48Z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D946E9058E7805F6435EA1699613E1B1_43</vt:lpwstr>
  </property>
  <property fmtid="{D5CDD505-2E9C-101B-9397-08002B2CF9AE}" pid="4" name="KSOTemplateDocerSaveRecord">
    <vt:lpwstr>eyJoZGlkIjoiOWZiNjE1NWEzYjJmNThmNGIwZGFiYTY1MDI4NjY0ZTciLCJ1c2VySWQiOiIxNjM5ODI3OTI2In0=</vt:lpwstr>
  </property>
</Properties>
</file>