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1" w:rightFromText="181" w:horzAnchor="margin" w:tblpXSpec="center" w:tblpYSpec="top"/>
        <w:tblW w:w="0" w:type="auto"/>
        <w:jc w:val="center"/>
        <w:tblLayout w:type="fixed"/>
        <w:tblCellMar>
          <w:top w:w="0" w:type="dxa"/>
          <w:left w:w="108" w:type="dxa"/>
          <w:bottom w:w="0" w:type="dxa"/>
          <w:right w:w="108" w:type="dxa"/>
        </w:tblCellMar>
      </w:tblPr>
      <w:tblGrid>
        <w:gridCol w:w="8833"/>
      </w:tblGrid>
      <w:tr>
        <w:tblPrEx>
          <w:tblCellMar>
            <w:top w:w="0" w:type="dxa"/>
            <w:left w:w="108" w:type="dxa"/>
            <w:bottom w:w="0" w:type="dxa"/>
            <w:right w:w="108" w:type="dxa"/>
          </w:tblCellMar>
        </w:tblPrEx>
        <w:trPr>
          <w:trHeight w:val="600" w:hRule="atLeast"/>
          <w:jc w:val="center"/>
        </w:trPr>
        <w:tc>
          <w:tcPr>
            <w:tcW w:w="8833" w:type="dxa"/>
            <w:noWrap w:val="0"/>
            <w:vAlign w:val="top"/>
          </w:tcPr>
          <w:p>
            <w:pPr>
              <w:keepNext w:val="0"/>
              <w:keepLines w:val="0"/>
              <w:suppressLineNumbers w:val="0"/>
              <w:spacing w:before="0" w:beforeAutospacing="0" w:after="0" w:afterAutospacing="0" w:line="600" w:lineRule="exact"/>
              <w:ind w:left="0" w:right="0"/>
              <w:rPr>
                <w:rFonts w:hint="eastAsia" w:ascii="Times New Roman" w:hAnsi="Times New Roman" w:eastAsia="方正仿宋_GBK" w:cs="Times New Roman"/>
                <w:sz w:val="33"/>
                <w:szCs w:val="32"/>
              </w:rPr>
            </w:pPr>
          </w:p>
        </w:tc>
      </w:tr>
      <w:tr>
        <w:tblPrEx>
          <w:tblCellMar>
            <w:top w:w="0" w:type="dxa"/>
            <w:left w:w="108" w:type="dxa"/>
            <w:bottom w:w="0" w:type="dxa"/>
            <w:right w:w="108" w:type="dxa"/>
          </w:tblCellMar>
        </w:tblPrEx>
        <w:trPr>
          <w:trHeight w:val="600" w:hRule="atLeast"/>
          <w:jc w:val="center"/>
        </w:trPr>
        <w:tc>
          <w:tcPr>
            <w:tcW w:w="8833" w:type="dxa"/>
            <w:noWrap w:val="0"/>
            <w:vAlign w:val="top"/>
          </w:tcPr>
          <w:p>
            <w:pPr>
              <w:keepNext w:val="0"/>
              <w:keepLines w:val="0"/>
              <w:suppressLineNumbers w:val="0"/>
              <w:spacing w:before="0" w:beforeAutospacing="0" w:after="0" w:afterAutospacing="0" w:line="600" w:lineRule="exact"/>
              <w:ind w:left="0" w:right="0"/>
              <w:rPr>
                <w:rFonts w:hint="eastAsia" w:ascii="方正黑体_GBK" w:hAnsi="Times New Roman" w:eastAsia="方正黑体_GBK" w:cs="Times New Roman"/>
                <w:sz w:val="33"/>
                <w:szCs w:val="32"/>
              </w:rPr>
            </w:pPr>
          </w:p>
        </w:tc>
      </w:tr>
      <w:tr>
        <w:tblPrEx>
          <w:tblCellMar>
            <w:top w:w="0" w:type="dxa"/>
            <w:left w:w="108" w:type="dxa"/>
            <w:bottom w:w="0" w:type="dxa"/>
            <w:right w:w="108" w:type="dxa"/>
          </w:tblCellMar>
        </w:tblPrEx>
        <w:trPr>
          <w:trHeight w:val="851" w:hRule="exact"/>
          <w:jc w:val="center"/>
        </w:trPr>
        <w:tc>
          <w:tcPr>
            <w:tcW w:w="8833" w:type="dxa"/>
            <w:noWrap w:val="0"/>
            <w:vAlign w:val="center"/>
          </w:tcPr>
          <w:p>
            <w:pPr>
              <w:keepNext w:val="0"/>
              <w:keepLines w:val="0"/>
              <w:suppressLineNumbers w:val="0"/>
              <w:spacing w:before="0" w:beforeAutospacing="0" w:after="0" w:afterAutospacing="0"/>
              <w:ind w:left="0" w:right="0"/>
              <w:jc w:val="both"/>
              <w:rPr>
                <w:rFonts w:hint="eastAsia" w:ascii="方正小标宋简体" w:hAnsi="Times New Roman" w:eastAsia="方正小标宋简体" w:cs="Times New Roman"/>
                <w:color w:val="FF0000"/>
                <w:w w:val="80"/>
                <w:sz w:val="33"/>
                <w:szCs w:val="33"/>
              </w:rPr>
            </w:pPr>
          </w:p>
        </w:tc>
      </w:tr>
      <w:tr>
        <w:tblPrEx>
          <w:tblCellMar>
            <w:top w:w="0" w:type="dxa"/>
            <w:left w:w="108" w:type="dxa"/>
            <w:bottom w:w="0" w:type="dxa"/>
            <w:right w:w="108" w:type="dxa"/>
          </w:tblCellMar>
        </w:tblPrEx>
        <w:trPr>
          <w:trHeight w:val="2495" w:hRule="exact"/>
          <w:jc w:val="center"/>
        </w:trPr>
        <w:tc>
          <w:tcPr>
            <w:tcW w:w="883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小标宋_GBK" w:cs="Times New Roman"/>
                <w:b/>
                <w:color w:val="FF3300"/>
                <w:spacing w:val="-20"/>
                <w:w w:val="58"/>
                <w:sz w:val="82"/>
                <w:szCs w:val="82"/>
              </w:rPr>
            </w:pPr>
            <w:r>
              <w:rPr>
                <w:rFonts w:hint="eastAsia" w:ascii="方正小标宋_GBK" w:hAnsi="Times New Roman" w:eastAsia="方正小标宋_GBK" w:cs="Times New Roman"/>
                <w:b/>
                <w:color w:val="FF0000"/>
                <w:w w:val="40"/>
                <w:sz w:val="110"/>
                <w:szCs w:val="110"/>
              </w:rPr>
              <w:t>重庆市开州区人民政府丰乐街道办事处文件</w:t>
            </w:r>
          </w:p>
        </w:tc>
      </w:tr>
      <w:tr>
        <w:tblPrEx>
          <w:tblCellMar>
            <w:top w:w="0" w:type="dxa"/>
            <w:left w:w="108" w:type="dxa"/>
            <w:bottom w:w="0" w:type="dxa"/>
            <w:right w:w="108" w:type="dxa"/>
          </w:tblCellMar>
        </w:tblPrEx>
        <w:trPr>
          <w:trHeight w:val="1721" w:hRule="exact"/>
          <w:jc w:val="center"/>
        </w:trPr>
        <w:tc>
          <w:tcPr>
            <w:tcW w:w="8833" w:type="dxa"/>
            <w:noWrap w:val="0"/>
            <w:vAlign w:val="bottom"/>
          </w:tcPr>
          <w:p>
            <w:pPr>
              <w:keepNext w:val="0"/>
              <w:keepLines w:val="0"/>
              <w:suppressLineNumbers w:val="0"/>
              <w:spacing w:before="0" w:beforeAutospacing="0" w:after="0" w:afterAutospacing="0" w:line="540" w:lineRule="exact"/>
              <w:ind w:left="0" w:right="0" w:firstLine="170" w:firstLineChars="50"/>
              <w:jc w:val="center"/>
              <w:rPr>
                <w:rFonts w:hint="eastAsia" w:ascii="Times New Roman" w:hAnsi="Times New Roman" w:eastAsia="方正仿宋_GBK" w:cs="Times New Roman"/>
                <w:spacing w:val="10"/>
                <w:sz w:val="32"/>
                <w:szCs w:val="32"/>
              </w:rPr>
            </w:pPr>
            <w:r>
              <w:rPr>
                <w:rFonts w:hint="eastAsia" w:ascii="Times New Roman" w:hAnsi="Times New Roman" w:eastAsia="方正仿宋_GBK" w:cs="Times New Roman"/>
                <w:spacing w:val="10"/>
                <w:sz w:val="32"/>
                <w:szCs w:val="32"/>
              </w:rPr>
              <w:t>开州丰街</w:t>
            </w:r>
            <w:r>
              <w:rPr>
                <w:rFonts w:hint="eastAsia" w:ascii="Times New Roman" w:hAnsi="Times New Roman" w:eastAsia="方正仿宋_GBK" w:cs="Times New Roman"/>
                <w:spacing w:val="10"/>
                <w:sz w:val="32"/>
                <w:szCs w:val="32"/>
                <w:lang w:eastAsia="zh-CN"/>
              </w:rPr>
              <w:t>发</w:t>
            </w:r>
            <w:r>
              <w:rPr>
                <w:rFonts w:hint="eastAsia" w:ascii="Times New Roman" w:hAnsi="Times New Roman" w:eastAsia="方正仿宋_GBK" w:cs="Times New Roman"/>
                <w:spacing w:val="10"/>
                <w:sz w:val="32"/>
                <w:szCs w:val="32"/>
              </w:rPr>
              <w:t>〔</w:t>
            </w:r>
            <w:r>
              <w:rPr>
                <w:rFonts w:hint="eastAsia" w:ascii="Times New Roman" w:hAnsi="Times New Roman" w:eastAsia="方正仿宋_GBK" w:cs="Times New Roman"/>
                <w:spacing w:val="10"/>
                <w:sz w:val="32"/>
                <w:szCs w:val="32"/>
                <w:lang w:val="en-US" w:eastAsia="zh-CN"/>
              </w:rPr>
              <w:t>2026</w:t>
            </w:r>
            <w:r>
              <w:rPr>
                <w:rFonts w:hint="eastAsia" w:ascii="Times New Roman" w:hAnsi="Times New Roman" w:eastAsia="方正仿宋_GBK" w:cs="Times New Roman"/>
                <w:spacing w:val="10"/>
                <w:sz w:val="32"/>
                <w:szCs w:val="32"/>
              </w:rPr>
              <w:t>〕</w:t>
            </w:r>
            <w:r>
              <w:rPr>
                <w:rFonts w:hint="eastAsia" w:eastAsia="方正仿宋_GBK" w:cs="Times New Roman"/>
                <w:spacing w:val="10"/>
                <w:sz w:val="32"/>
                <w:szCs w:val="32"/>
                <w:lang w:val="en-US" w:eastAsia="zh-CN"/>
              </w:rPr>
              <w:t>36</w:t>
            </w:r>
            <w:r>
              <w:rPr>
                <w:rFonts w:hint="eastAsia" w:ascii="Times New Roman" w:hAnsi="Times New Roman" w:eastAsia="方正仿宋_GBK" w:cs="Times New Roman"/>
                <w:spacing w:val="10"/>
                <w:sz w:val="32"/>
                <w:szCs w:val="32"/>
              </w:rPr>
              <w:t>号</w:t>
            </w:r>
          </w:p>
          <w:p>
            <w:pPr>
              <w:keepNext w:val="0"/>
              <w:keepLines w:val="0"/>
              <w:suppressLineNumbers w:val="0"/>
              <w:spacing w:before="0" w:beforeAutospacing="0" w:after="0" w:afterAutospacing="0" w:line="540" w:lineRule="exact"/>
              <w:ind w:left="0" w:right="0"/>
              <w:jc w:val="center"/>
              <w:rPr>
                <w:rFonts w:hint="eastAsia" w:ascii="Times New Roman" w:hAnsi="Times New Roman" w:eastAsia="方正仿宋_GBK" w:cs="Times New Roman"/>
                <w:color w:val="FF3300"/>
                <w:sz w:val="52"/>
                <w:szCs w:val="52"/>
              </w:rPr>
            </w:pPr>
            <w:r>
              <w:rPr>
                <w:rFonts w:hint="eastAsia" w:ascii="Times New Roman" w:hAnsi="Times New Roman" w:eastAsia="方正仿宋_GBK" w:cs="Times New Roman"/>
                <w:color w:val="FF3300"/>
                <w:sz w:val="52"/>
                <w:szCs w:val="52"/>
              </w:rPr>
              <mc:AlternateContent>
                <mc:Choice Requires="wps">
                  <w:drawing>
                    <wp:anchor distT="0" distB="0" distL="114300" distR="114300" simplePos="0" relativeHeight="251660288" behindDoc="0" locked="0" layoutInCell="1" allowOverlap="1">
                      <wp:simplePos x="0" y="0"/>
                      <wp:positionH relativeFrom="column">
                        <wp:posOffset>-71755</wp:posOffset>
                      </wp:positionH>
                      <wp:positionV relativeFrom="paragraph">
                        <wp:posOffset>158115</wp:posOffset>
                      </wp:positionV>
                      <wp:extent cx="5607050" cy="1778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7050" cy="1778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65pt;margin-top:12.45pt;height:1.4pt;width:441.5pt;z-index:251660288;mso-width-relative:page;mso-height-relative:page;" filled="f" stroked="t" coordsize="21600,21600" o:gfxdata="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7i+HNgAAAAJAQAADwAAAAAAAAABACAAAAAiAAAAZHJzL2Rv&#10;d25yZXYueG1sUEsBAhQAFAAAAAgAh07iQBtiXVgBAgAA9wMAAA4AAAAAAAAAAQAgAAAAJwEAAGRy&#10;cy9lMm9Eb2MueG1sUEsFBgAAAAAGAAYAWQEAAJoFAAAAAA==&#10;">
                      <v:fill on="f" focussize="0,0"/>
                      <v:stroke weight="2.25pt" color="#FF0000" joinstyle="round"/>
                      <v:imagedata o:title=""/>
                      <o:lock v:ext="edit" aspectratio="f"/>
                    </v:line>
                  </w:pict>
                </mc:Fallback>
              </mc:AlternateContent>
            </w:r>
          </w:p>
        </w:tc>
      </w:tr>
    </w:tbl>
    <w:p>
      <w:pPr>
        <w:pStyle w:val="2"/>
        <w:keepNext w:val="0"/>
        <w:keepLines w:val="0"/>
        <w:pageBreakBefore w:val="0"/>
        <w:kinsoku/>
        <w:wordWrap/>
        <w:overflowPunct/>
        <w:topLinePunct w:val="0"/>
        <w:autoSpaceDE/>
        <w:autoSpaceDN/>
        <w:bidi w:val="0"/>
        <w:adjustRightInd/>
        <w:snapToGrid/>
        <w:spacing w:line="594" w:lineRule="exact"/>
        <w:ind w:firstLine="0" w:firstLineChars="0"/>
        <w:jc w:val="center"/>
        <w:textAlignment w:val="auto"/>
        <w:rPr>
          <w:rFonts w:hint="default" w:ascii="Times New Roman" w:eastAsia="方正小标宋_GBK"/>
          <w:szCs w:val="32"/>
          <w:highlight w:val="none"/>
          <w:lang w:val="en-US" w:eastAsia="zh-CN"/>
        </w:rPr>
      </w:pPr>
      <w:r>
        <w:rPr>
          <w:rFonts w:ascii="Times New Roman" w:eastAsia="方正小标宋_GBK"/>
          <w:color w:val="000000"/>
          <w:sz w:val="44"/>
          <w:szCs w:val="44"/>
          <w:highlight w:val="none"/>
        </w:rPr>
        <w:t>重庆市开州区</w:t>
      </w:r>
      <w:r>
        <w:rPr>
          <w:rFonts w:hint="eastAsia" w:ascii="Times New Roman" w:eastAsia="方正小标宋_GBK"/>
          <w:color w:val="000000"/>
          <w:sz w:val="44"/>
          <w:szCs w:val="44"/>
          <w:highlight w:val="none"/>
          <w:lang w:val="en-US" w:eastAsia="zh-CN"/>
        </w:rPr>
        <w:t>丰乐街道综合行政执法大队</w:t>
      </w:r>
    </w:p>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eastAsia="方正小标宋_GBK"/>
          <w:sz w:val="44"/>
          <w:szCs w:val="44"/>
          <w:highlight w:val="none"/>
          <w:lang w:eastAsia="zh-CN"/>
        </w:rPr>
      </w:pPr>
      <w:r>
        <w:rPr>
          <w:rFonts w:eastAsia="方正小标宋_GBK"/>
          <w:sz w:val="44"/>
          <w:szCs w:val="44"/>
          <w:highlight w:val="none"/>
        </w:rPr>
        <w:t>关于</w:t>
      </w:r>
      <w:r>
        <w:rPr>
          <w:rFonts w:hint="eastAsia" w:eastAsia="方正小标宋_GBK"/>
          <w:sz w:val="44"/>
          <w:szCs w:val="44"/>
          <w:highlight w:val="none"/>
          <w:lang w:val="en-US" w:eastAsia="zh-CN"/>
        </w:rPr>
        <w:t>2026</w:t>
      </w:r>
      <w:r>
        <w:rPr>
          <w:rFonts w:eastAsia="方正小标宋_GBK"/>
          <w:sz w:val="44"/>
          <w:szCs w:val="44"/>
          <w:highlight w:val="none"/>
        </w:rPr>
        <w:t>年</w:t>
      </w:r>
      <w:r>
        <w:rPr>
          <w:rFonts w:hint="eastAsia" w:eastAsia="方正小标宋_GBK"/>
          <w:sz w:val="44"/>
          <w:szCs w:val="44"/>
          <w:highlight w:val="none"/>
          <w:lang w:eastAsia="zh-CN"/>
        </w:rPr>
        <w:t>单位</w:t>
      </w:r>
      <w:r>
        <w:rPr>
          <w:rFonts w:eastAsia="方正小标宋_GBK"/>
          <w:sz w:val="44"/>
          <w:szCs w:val="44"/>
          <w:highlight w:val="none"/>
        </w:rPr>
        <w:t>预算情况公开的</w:t>
      </w:r>
      <w:r>
        <w:rPr>
          <w:rFonts w:hint="eastAsia" w:eastAsia="方正小标宋_GBK"/>
          <w:sz w:val="44"/>
          <w:szCs w:val="44"/>
          <w:highlight w:val="none"/>
          <w:lang w:eastAsia="zh-CN"/>
        </w:rPr>
        <w:t>公示</w:t>
      </w:r>
    </w:p>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eastAsia="方正小标宋_GBK"/>
          <w:sz w:val="44"/>
          <w:szCs w:val="44"/>
          <w:highlight w:val="none"/>
          <w:lang w:eastAsia="zh-CN"/>
        </w:rPr>
      </w:pP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eastAsia="方正仿宋_GBK"/>
          <w:sz w:val="32"/>
          <w:szCs w:val="32"/>
          <w:highlight w:val="none"/>
        </w:rPr>
      </w:pPr>
      <w:r>
        <w:rPr>
          <w:rFonts w:eastAsia="方正仿宋_GBK"/>
          <w:sz w:val="32"/>
          <w:szCs w:val="32"/>
          <w:highlight w:val="none"/>
        </w:rPr>
        <w:t>按照有关财政预算公开的部署和要求，依据《中华人民共和国政府信息公开条例》（国务院令第492号）和</w:t>
      </w:r>
      <w:r>
        <w:rPr>
          <w:rFonts w:hint="eastAsia" w:ascii="Times New Roman" w:hAnsi="Times New Roman" w:eastAsia="方正仿宋_GBK" w:cs="Times New Roman"/>
          <w:sz w:val="32"/>
          <w:szCs w:val="32"/>
          <w:highlight w:val="none"/>
          <w:lang w:val="en-US" w:eastAsia="zh-CN"/>
        </w:rPr>
        <w:t>重庆市开州区人民政府</w:t>
      </w:r>
      <w:r>
        <w:rPr>
          <w:rFonts w:hint="eastAsia" w:eastAsia="方正仿宋_GBK" w:cs="Times New Roman"/>
          <w:sz w:val="32"/>
          <w:szCs w:val="32"/>
          <w:highlight w:val="none"/>
          <w:lang w:val="en-US" w:eastAsia="zh-CN"/>
        </w:rPr>
        <w:t>丰乐</w:t>
      </w:r>
      <w:r>
        <w:rPr>
          <w:rFonts w:hint="eastAsia" w:ascii="Times New Roman" w:hAnsi="Times New Roman" w:eastAsia="方正仿宋_GBK" w:cs="Times New Roman"/>
          <w:sz w:val="32"/>
          <w:szCs w:val="32"/>
          <w:highlight w:val="none"/>
          <w:lang w:val="en-US" w:eastAsia="zh-CN"/>
        </w:rPr>
        <w:t>街道办事处</w:t>
      </w:r>
      <w:r>
        <w:rPr>
          <w:rFonts w:hint="default" w:ascii="Times New Roman" w:hAnsi="Times New Roman" w:eastAsia="方正仿宋_GBK" w:cs="Times New Roman"/>
          <w:sz w:val="32"/>
          <w:szCs w:val="32"/>
          <w:highlight w:val="none"/>
        </w:rPr>
        <w:t>《关于批复</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预算的通知》（开</w:t>
      </w:r>
      <w:r>
        <w:rPr>
          <w:rFonts w:hint="eastAsia" w:ascii="Times New Roman" w:hAnsi="Times New Roman" w:eastAsia="方正仿宋_GBK" w:cs="Times New Roman"/>
          <w:sz w:val="32"/>
          <w:szCs w:val="32"/>
          <w:highlight w:val="none"/>
          <w:lang w:val="en-US" w:eastAsia="zh-CN"/>
        </w:rPr>
        <w:t>州</w:t>
      </w:r>
      <w:r>
        <w:rPr>
          <w:rFonts w:hint="eastAsia" w:eastAsia="方正仿宋_GBK" w:cs="Times New Roman"/>
          <w:sz w:val="32"/>
          <w:szCs w:val="32"/>
          <w:highlight w:val="none"/>
          <w:lang w:val="en-US" w:eastAsia="zh-CN"/>
        </w:rPr>
        <w:t>丰乐</w:t>
      </w:r>
      <w:r>
        <w:rPr>
          <w:rFonts w:hint="eastAsia" w:ascii="Times New Roman" w:hAnsi="Times New Roman" w:eastAsia="方正仿宋_GBK" w:cs="Times New Roman"/>
          <w:sz w:val="32"/>
          <w:szCs w:val="32"/>
          <w:highlight w:val="none"/>
          <w:lang w:val="en-US" w:eastAsia="zh-CN"/>
        </w:rPr>
        <w:t>街发</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w:t>
      </w:r>
      <w:r>
        <w:rPr>
          <w:rFonts w:hint="eastAsia" w:eastAsia="方正仿宋_GBK" w:cs="Times New Roman"/>
          <w:sz w:val="32"/>
          <w:szCs w:val="32"/>
          <w:highlight w:val="none"/>
          <w:lang w:val="en-US" w:eastAsia="zh-CN"/>
        </w:rPr>
        <w:t>11</w:t>
      </w:r>
      <w:r>
        <w:rPr>
          <w:rFonts w:hint="default" w:ascii="Times New Roman" w:hAnsi="Times New Roman" w:eastAsia="方正仿宋_GBK" w:cs="Times New Roman"/>
          <w:sz w:val="32"/>
          <w:szCs w:val="32"/>
          <w:highlight w:val="none"/>
        </w:rPr>
        <w:t>号）</w:t>
      </w:r>
      <w:r>
        <w:rPr>
          <w:rFonts w:eastAsia="方正仿宋_GBK"/>
          <w:sz w:val="32"/>
          <w:szCs w:val="32"/>
          <w:highlight w:val="none"/>
        </w:rPr>
        <w:t>,现将重庆市开州区</w:t>
      </w:r>
      <w:r>
        <w:rPr>
          <w:rFonts w:hint="eastAsia" w:eastAsia="方正仿宋_GBK"/>
          <w:sz w:val="32"/>
          <w:szCs w:val="32"/>
          <w:highlight w:val="none"/>
          <w:lang w:val="en-US" w:eastAsia="zh-CN"/>
        </w:rPr>
        <w:t>丰乐街道综合行政执法大队2026</w:t>
      </w:r>
      <w:r>
        <w:rPr>
          <w:rFonts w:eastAsia="方正仿宋_GBK"/>
          <w:sz w:val="32"/>
          <w:szCs w:val="32"/>
          <w:highlight w:val="none"/>
        </w:rPr>
        <w:t>年</w:t>
      </w:r>
      <w:r>
        <w:rPr>
          <w:rFonts w:hint="eastAsia" w:eastAsia="方正仿宋_GBK"/>
          <w:sz w:val="32"/>
          <w:szCs w:val="32"/>
          <w:highlight w:val="none"/>
          <w:lang w:eastAsia="zh-CN"/>
        </w:rPr>
        <w:t>单位</w:t>
      </w:r>
      <w:r>
        <w:rPr>
          <w:rFonts w:eastAsia="方正仿宋_GBK"/>
          <w:sz w:val="32"/>
          <w:szCs w:val="32"/>
          <w:highlight w:val="none"/>
        </w:rPr>
        <w:t>预算批复情况公开如下：</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eastAsia="方正仿宋_GBK"/>
          <w:sz w:val="32"/>
          <w:szCs w:val="32"/>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方正小标宋_GBK" w:eastAsia="方正小标宋_GBK"/>
          <w:sz w:val="44"/>
          <w:szCs w:val="44"/>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方正小标宋_GBK" w:eastAsia="方正小标宋_GBK"/>
          <w:sz w:val="44"/>
          <w:szCs w:val="44"/>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方正小标宋_GBK" w:eastAsia="方正小标宋_GBK"/>
          <w:sz w:val="44"/>
          <w:szCs w:val="44"/>
          <w:highlight w:val="none"/>
        </w:rPr>
      </w:pPr>
      <w:r>
        <w:rPr>
          <w:rFonts w:hint="eastAsia" w:ascii="方正小标宋_GBK" w:eastAsia="方正小标宋_GBK"/>
          <w:sz w:val="44"/>
          <w:szCs w:val="44"/>
          <w:highlight w:val="none"/>
        </w:rPr>
        <w:t>目    录</w:t>
      </w:r>
    </w:p>
    <w:p>
      <w:pPr>
        <w:keepNext w:val="0"/>
        <w:keepLines w:val="0"/>
        <w:pageBreakBefore w:val="0"/>
        <w:kinsoku/>
        <w:wordWrap/>
        <w:overflowPunct/>
        <w:topLinePunct w:val="0"/>
        <w:autoSpaceDE/>
        <w:autoSpaceDN/>
        <w:bidi w:val="0"/>
        <w:adjustRightInd/>
        <w:snapToGrid/>
        <w:spacing w:line="594" w:lineRule="exact"/>
        <w:textAlignment w:val="auto"/>
        <w:rPr>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eastAsia="方正楷体_GBK"/>
          <w:sz w:val="32"/>
          <w:szCs w:val="32"/>
          <w:highlight w:val="none"/>
        </w:rPr>
      </w:pPr>
      <w:r>
        <w:rPr>
          <w:rFonts w:eastAsia="方正楷体_GBK"/>
          <w:sz w:val="32"/>
          <w:szCs w:val="32"/>
          <w:highlight w:val="none"/>
        </w:rPr>
        <w:t>第一部分：</w:t>
      </w:r>
      <w:r>
        <w:rPr>
          <w:rFonts w:hint="eastAsia" w:eastAsia="方正楷体_GBK"/>
          <w:sz w:val="32"/>
          <w:szCs w:val="32"/>
          <w:highlight w:val="none"/>
          <w:lang w:val="en-US" w:eastAsia="zh-CN"/>
        </w:rPr>
        <w:t>2026</w:t>
      </w:r>
      <w:r>
        <w:rPr>
          <w:rFonts w:eastAsia="方正楷体_GBK"/>
          <w:sz w:val="32"/>
          <w:szCs w:val="32"/>
          <w:highlight w:val="none"/>
        </w:rPr>
        <w:t>年</w:t>
      </w:r>
      <w:r>
        <w:rPr>
          <w:rFonts w:hint="eastAsia" w:eastAsia="方正楷体_GBK"/>
          <w:sz w:val="32"/>
          <w:szCs w:val="32"/>
          <w:highlight w:val="none"/>
          <w:lang w:eastAsia="zh-CN"/>
        </w:rPr>
        <w:t>单位</w:t>
      </w:r>
      <w:r>
        <w:rPr>
          <w:rFonts w:eastAsia="方正楷体_GBK"/>
          <w:sz w:val="32"/>
          <w:szCs w:val="32"/>
          <w:highlight w:val="none"/>
        </w:rPr>
        <w:t>预算情况说明</w:t>
      </w:r>
    </w:p>
    <w:p>
      <w:pPr>
        <w:keepNext w:val="0"/>
        <w:keepLines w:val="0"/>
        <w:pageBreakBefore w:val="0"/>
        <w:kinsoku/>
        <w:wordWrap/>
        <w:overflowPunct/>
        <w:topLinePunct w:val="0"/>
        <w:autoSpaceDE/>
        <w:autoSpaceDN/>
        <w:bidi w:val="0"/>
        <w:adjustRightInd/>
        <w:snapToGrid/>
        <w:spacing w:line="594" w:lineRule="exact"/>
        <w:textAlignment w:val="auto"/>
        <w:rPr>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一、单位基本情况</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二、</w:t>
      </w:r>
      <w:r>
        <w:rPr>
          <w:rFonts w:hint="eastAsia" w:eastAsia="方正仿宋_GBK"/>
          <w:sz w:val="32"/>
          <w:szCs w:val="32"/>
          <w:highlight w:val="none"/>
          <w:lang w:eastAsia="zh-CN"/>
        </w:rPr>
        <w:t>单位</w:t>
      </w:r>
      <w:r>
        <w:rPr>
          <w:rFonts w:eastAsia="方正仿宋_GBK"/>
          <w:sz w:val="32"/>
          <w:szCs w:val="32"/>
          <w:highlight w:val="none"/>
        </w:rPr>
        <w:t>收支总体情况</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三、</w:t>
      </w:r>
      <w:r>
        <w:rPr>
          <w:rFonts w:hint="eastAsia" w:eastAsia="方正仿宋_GBK"/>
          <w:sz w:val="32"/>
          <w:szCs w:val="32"/>
          <w:highlight w:val="none"/>
          <w:lang w:eastAsia="zh-CN"/>
        </w:rPr>
        <w:t>单位</w:t>
      </w:r>
      <w:r>
        <w:rPr>
          <w:rFonts w:eastAsia="方正仿宋_GBK"/>
          <w:sz w:val="32"/>
          <w:szCs w:val="32"/>
          <w:highlight w:val="none"/>
        </w:rPr>
        <w:t>预算情况说明</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四、</w:t>
      </w:r>
      <w:r>
        <w:rPr>
          <w:rFonts w:hint="eastAsia" w:ascii="方正仿宋_GBK" w:eastAsia="方正仿宋_GBK"/>
          <w:sz w:val="32"/>
          <w:szCs w:val="32"/>
          <w:highlight w:val="none"/>
        </w:rPr>
        <w:t>“三公”经费</w:t>
      </w:r>
      <w:r>
        <w:rPr>
          <w:rFonts w:eastAsia="方正仿宋_GBK"/>
          <w:sz w:val="32"/>
          <w:szCs w:val="32"/>
          <w:highlight w:val="none"/>
        </w:rPr>
        <w:t>情况说明</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五、其他重要事项的情况说明</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六、专业性名词解释</w:t>
      </w:r>
    </w:p>
    <w:p>
      <w:pPr>
        <w:keepNext w:val="0"/>
        <w:keepLines w:val="0"/>
        <w:pageBreakBefore w:val="0"/>
        <w:kinsoku/>
        <w:wordWrap/>
        <w:overflowPunct/>
        <w:topLinePunct w:val="0"/>
        <w:autoSpaceDE/>
        <w:autoSpaceDN/>
        <w:bidi w:val="0"/>
        <w:adjustRightInd/>
        <w:snapToGrid/>
        <w:spacing w:line="594" w:lineRule="exact"/>
        <w:jc w:val="center"/>
        <w:textAlignment w:val="auto"/>
        <w:rPr>
          <w:highlight w:val="none"/>
        </w:rPr>
      </w:pPr>
      <w:r>
        <w:rPr>
          <w:rFonts w:eastAsia="方正楷体_GBK"/>
          <w:sz w:val="32"/>
          <w:szCs w:val="32"/>
          <w:highlight w:val="none"/>
        </w:rPr>
        <w:t>第二部分：</w:t>
      </w:r>
      <w:r>
        <w:rPr>
          <w:rFonts w:hint="eastAsia" w:eastAsia="方正楷体_GBK"/>
          <w:sz w:val="32"/>
          <w:szCs w:val="32"/>
          <w:highlight w:val="none"/>
          <w:lang w:val="en-US" w:eastAsia="zh-CN"/>
        </w:rPr>
        <w:t>2026</w:t>
      </w:r>
      <w:r>
        <w:rPr>
          <w:rFonts w:eastAsia="方正楷体_GBK"/>
          <w:sz w:val="32"/>
          <w:szCs w:val="32"/>
          <w:highlight w:val="none"/>
        </w:rPr>
        <w:t>年</w:t>
      </w:r>
      <w:r>
        <w:rPr>
          <w:rFonts w:hint="eastAsia" w:eastAsia="方正楷体_GBK"/>
          <w:sz w:val="32"/>
          <w:szCs w:val="32"/>
          <w:highlight w:val="none"/>
          <w:lang w:eastAsia="zh-CN"/>
        </w:rPr>
        <w:t>单位</w:t>
      </w:r>
      <w:r>
        <w:rPr>
          <w:rFonts w:eastAsia="方正楷体_GBK"/>
          <w:sz w:val="32"/>
          <w:szCs w:val="32"/>
          <w:highlight w:val="none"/>
        </w:rPr>
        <w:t>预算</w:t>
      </w:r>
      <w:r>
        <w:rPr>
          <w:rFonts w:hint="eastAsia" w:eastAsia="方正楷体_GBK"/>
          <w:sz w:val="32"/>
          <w:szCs w:val="32"/>
          <w:highlight w:val="none"/>
        </w:rPr>
        <w:t>公开报</w:t>
      </w:r>
      <w:r>
        <w:rPr>
          <w:rFonts w:eastAsia="方正楷体_GBK"/>
          <w:sz w:val="32"/>
          <w:szCs w:val="32"/>
          <w:highlight w:val="none"/>
        </w:rPr>
        <w:t>表</w:t>
      </w:r>
    </w:p>
    <w:p>
      <w:pPr>
        <w:keepNext w:val="0"/>
        <w:keepLines w:val="0"/>
        <w:pageBreakBefore w:val="0"/>
        <w:kinsoku/>
        <w:wordWrap/>
        <w:overflowPunct/>
        <w:topLinePunct w:val="0"/>
        <w:autoSpaceDE/>
        <w:autoSpaceDN/>
        <w:bidi w:val="0"/>
        <w:adjustRightInd/>
        <w:snapToGrid/>
        <w:spacing w:line="594" w:lineRule="exact"/>
        <w:textAlignment w:val="auto"/>
        <w:rPr>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表1、重庆市开州区</w:t>
      </w:r>
      <w:r>
        <w:rPr>
          <w:rFonts w:hint="eastAsia" w:eastAsia="方正仿宋_GBK"/>
          <w:sz w:val="32"/>
          <w:szCs w:val="32"/>
          <w:highlight w:val="none"/>
          <w:lang w:val="en-US" w:eastAsia="zh-CN"/>
        </w:rPr>
        <w:t>丰乐街道综合行政执法大队</w:t>
      </w:r>
      <w:r>
        <w:rPr>
          <w:rFonts w:hint="eastAsia" w:eastAsia="方正仿宋_GBK"/>
          <w:sz w:val="32"/>
          <w:szCs w:val="32"/>
          <w:highlight w:val="none"/>
        </w:rPr>
        <w:t>收支预算总表</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表2、重庆市开州区</w:t>
      </w:r>
      <w:r>
        <w:rPr>
          <w:rFonts w:hint="eastAsia" w:eastAsia="方正仿宋_GBK"/>
          <w:sz w:val="32"/>
          <w:szCs w:val="32"/>
          <w:highlight w:val="none"/>
          <w:lang w:val="en-US" w:eastAsia="zh-CN"/>
        </w:rPr>
        <w:t>丰乐街道综合行政执法大队</w:t>
      </w:r>
      <w:r>
        <w:rPr>
          <w:rFonts w:eastAsia="方正仿宋_GBK"/>
          <w:sz w:val="32"/>
          <w:szCs w:val="32"/>
          <w:highlight w:val="none"/>
        </w:rPr>
        <w:t>收入总表</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表3、重庆市开州区</w:t>
      </w:r>
      <w:r>
        <w:rPr>
          <w:rFonts w:hint="eastAsia" w:eastAsia="方正仿宋_GBK"/>
          <w:sz w:val="32"/>
          <w:szCs w:val="32"/>
          <w:highlight w:val="none"/>
          <w:lang w:val="en-US" w:eastAsia="zh-CN"/>
        </w:rPr>
        <w:t>丰乐街道综合行政执法大队</w:t>
      </w:r>
      <w:r>
        <w:rPr>
          <w:rFonts w:hint="eastAsia" w:eastAsia="方正仿宋_GBK"/>
          <w:sz w:val="32"/>
          <w:szCs w:val="32"/>
          <w:highlight w:val="none"/>
        </w:rPr>
        <w:t>本年</w:t>
      </w:r>
      <w:r>
        <w:rPr>
          <w:rFonts w:eastAsia="方正仿宋_GBK"/>
          <w:sz w:val="32"/>
          <w:szCs w:val="32"/>
          <w:highlight w:val="none"/>
        </w:rPr>
        <w:t>支出</w:t>
      </w:r>
      <w:r>
        <w:rPr>
          <w:rFonts w:hint="eastAsia" w:eastAsia="方正仿宋_GBK"/>
          <w:sz w:val="32"/>
          <w:szCs w:val="32"/>
          <w:highlight w:val="none"/>
        </w:rPr>
        <w:t>预算总</w:t>
      </w:r>
      <w:r>
        <w:rPr>
          <w:rFonts w:eastAsia="方正仿宋_GBK"/>
          <w:sz w:val="32"/>
          <w:szCs w:val="32"/>
          <w:highlight w:val="none"/>
        </w:rPr>
        <w:t>表</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表4、重庆市开州区</w:t>
      </w:r>
      <w:r>
        <w:rPr>
          <w:rFonts w:hint="eastAsia" w:eastAsia="方正仿宋_GBK"/>
          <w:sz w:val="32"/>
          <w:szCs w:val="32"/>
          <w:highlight w:val="none"/>
          <w:lang w:val="en-US" w:eastAsia="zh-CN"/>
        </w:rPr>
        <w:t>丰乐街道综合行政执法大队</w:t>
      </w:r>
      <w:r>
        <w:rPr>
          <w:rFonts w:eastAsia="方正仿宋_GBK"/>
          <w:sz w:val="32"/>
          <w:szCs w:val="32"/>
          <w:highlight w:val="none"/>
        </w:rPr>
        <w:t>财政拨款收支</w:t>
      </w:r>
      <w:r>
        <w:rPr>
          <w:rFonts w:hint="eastAsia" w:eastAsia="方正仿宋_GBK"/>
          <w:sz w:val="32"/>
          <w:szCs w:val="32"/>
          <w:highlight w:val="none"/>
        </w:rPr>
        <w:t>预算总</w:t>
      </w:r>
      <w:r>
        <w:rPr>
          <w:rFonts w:eastAsia="方正仿宋_GBK"/>
          <w:sz w:val="32"/>
          <w:szCs w:val="32"/>
          <w:highlight w:val="none"/>
        </w:rPr>
        <w:t>表</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表5、重庆市开州区</w:t>
      </w:r>
      <w:r>
        <w:rPr>
          <w:rFonts w:hint="eastAsia" w:eastAsia="方正仿宋_GBK"/>
          <w:sz w:val="32"/>
          <w:szCs w:val="32"/>
          <w:highlight w:val="none"/>
          <w:lang w:val="en-US" w:eastAsia="zh-CN"/>
        </w:rPr>
        <w:t>丰乐街道综合行政执法大队</w:t>
      </w:r>
      <w:r>
        <w:rPr>
          <w:rFonts w:hint="eastAsia" w:eastAsia="方正仿宋_GBK"/>
          <w:sz w:val="32"/>
          <w:szCs w:val="32"/>
          <w:highlight w:val="none"/>
        </w:rPr>
        <w:t>本年</w:t>
      </w:r>
      <w:r>
        <w:rPr>
          <w:rFonts w:eastAsia="方正仿宋_GBK"/>
          <w:sz w:val="32"/>
          <w:szCs w:val="32"/>
          <w:highlight w:val="none"/>
        </w:rPr>
        <w:t>一般公共预算支出</w:t>
      </w:r>
      <w:r>
        <w:rPr>
          <w:rFonts w:hint="eastAsia" w:eastAsia="方正仿宋_GBK"/>
          <w:sz w:val="32"/>
          <w:szCs w:val="32"/>
          <w:highlight w:val="none"/>
        </w:rPr>
        <w:t>预算</w:t>
      </w:r>
      <w:r>
        <w:rPr>
          <w:rFonts w:eastAsia="方正仿宋_GBK"/>
          <w:sz w:val="32"/>
          <w:szCs w:val="32"/>
          <w:highlight w:val="none"/>
        </w:rPr>
        <w:t>表</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表6、重庆市开州区</w:t>
      </w:r>
      <w:r>
        <w:rPr>
          <w:rFonts w:hint="eastAsia" w:eastAsia="方正仿宋_GBK"/>
          <w:sz w:val="32"/>
          <w:szCs w:val="32"/>
          <w:highlight w:val="none"/>
          <w:lang w:val="en-US" w:eastAsia="zh-CN"/>
        </w:rPr>
        <w:t>丰乐街道综合行政执法大队</w:t>
      </w:r>
      <w:r>
        <w:rPr>
          <w:rFonts w:eastAsia="方正仿宋_GBK"/>
          <w:sz w:val="32"/>
          <w:szCs w:val="32"/>
          <w:highlight w:val="none"/>
        </w:rPr>
        <w:t>一般公共预算基本支出</w:t>
      </w:r>
      <w:r>
        <w:rPr>
          <w:rFonts w:hint="eastAsia" w:eastAsia="方正仿宋_GBK"/>
          <w:sz w:val="32"/>
          <w:szCs w:val="32"/>
          <w:highlight w:val="none"/>
        </w:rPr>
        <w:t>预算</w:t>
      </w:r>
      <w:r>
        <w:rPr>
          <w:rFonts w:eastAsia="方正仿宋_GBK"/>
          <w:sz w:val="32"/>
          <w:szCs w:val="32"/>
          <w:highlight w:val="none"/>
        </w:rPr>
        <w:t>表</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表7、重庆市开州区</w:t>
      </w:r>
      <w:r>
        <w:rPr>
          <w:rFonts w:hint="eastAsia" w:eastAsia="方正仿宋_GBK"/>
          <w:sz w:val="32"/>
          <w:szCs w:val="32"/>
          <w:highlight w:val="none"/>
          <w:lang w:val="en-US" w:eastAsia="zh-CN"/>
        </w:rPr>
        <w:t>丰乐街道综合行政执法大队</w:t>
      </w:r>
      <w:r>
        <w:rPr>
          <w:rFonts w:eastAsia="方正仿宋_GBK"/>
          <w:sz w:val="32"/>
          <w:szCs w:val="32"/>
          <w:highlight w:val="none"/>
        </w:rPr>
        <w:t>一般公共预</w:t>
      </w:r>
      <w:r>
        <w:rPr>
          <w:rFonts w:hint="eastAsia" w:ascii="方正仿宋_GBK" w:eastAsia="方正仿宋_GBK"/>
          <w:sz w:val="32"/>
          <w:szCs w:val="32"/>
          <w:highlight w:val="none"/>
        </w:rPr>
        <w:t>算“三公”经费</w:t>
      </w:r>
      <w:r>
        <w:rPr>
          <w:rFonts w:eastAsia="方正仿宋_GBK"/>
          <w:sz w:val="32"/>
          <w:szCs w:val="32"/>
          <w:highlight w:val="none"/>
        </w:rPr>
        <w:t>支出</w:t>
      </w:r>
      <w:r>
        <w:rPr>
          <w:rFonts w:hint="eastAsia" w:eastAsia="方正仿宋_GBK"/>
          <w:sz w:val="32"/>
          <w:szCs w:val="32"/>
          <w:highlight w:val="none"/>
        </w:rPr>
        <w:t>预算</w:t>
      </w:r>
      <w:r>
        <w:rPr>
          <w:rFonts w:eastAsia="方正仿宋_GBK"/>
          <w:sz w:val="32"/>
          <w:szCs w:val="32"/>
          <w:highlight w:val="none"/>
        </w:rPr>
        <w:t>表</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表8、重庆市开州区</w:t>
      </w:r>
      <w:r>
        <w:rPr>
          <w:rFonts w:hint="eastAsia" w:eastAsia="方正仿宋_GBK"/>
          <w:sz w:val="32"/>
          <w:szCs w:val="32"/>
          <w:highlight w:val="none"/>
          <w:lang w:val="en-US" w:eastAsia="zh-CN"/>
        </w:rPr>
        <w:t>丰乐街道综合行政执法大队</w:t>
      </w:r>
      <w:r>
        <w:rPr>
          <w:rFonts w:eastAsia="方正仿宋_GBK"/>
          <w:sz w:val="32"/>
          <w:szCs w:val="32"/>
          <w:highlight w:val="none"/>
        </w:rPr>
        <w:t>政府性基金预算支出</w:t>
      </w:r>
      <w:r>
        <w:rPr>
          <w:rFonts w:hint="eastAsia" w:eastAsia="方正仿宋_GBK"/>
          <w:sz w:val="32"/>
          <w:szCs w:val="32"/>
          <w:highlight w:val="none"/>
        </w:rPr>
        <w:t>预算</w:t>
      </w:r>
      <w:r>
        <w:rPr>
          <w:rFonts w:eastAsia="方正仿宋_GBK"/>
          <w:sz w:val="32"/>
          <w:szCs w:val="32"/>
          <w:highlight w:val="none"/>
        </w:rPr>
        <w:t>表</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表9、重庆市开州区</w:t>
      </w:r>
      <w:r>
        <w:rPr>
          <w:rFonts w:hint="eastAsia" w:eastAsia="方正仿宋_GBK"/>
          <w:sz w:val="32"/>
          <w:szCs w:val="32"/>
          <w:highlight w:val="none"/>
          <w:lang w:val="en-US" w:eastAsia="zh-CN"/>
        </w:rPr>
        <w:t>丰乐街道综合行政执法大队</w:t>
      </w:r>
      <w:r>
        <w:rPr>
          <w:rFonts w:eastAsia="方正仿宋_GBK"/>
          <w:sz w:val="32"/>
          <w:szCs w:val="32"/>
          <w:highlight w:val="none"/>
        </w:rPr>
        <w:t>国有资本经营预算支出</w:t>
      </w:r>
      <w:r>
        <w:rPr>
          <w:rFonts w:hint="eastAsia" w:eastAsia="方正仿宋_GBK"/>
          <w:sz w:val="32"/>
          <w:szCs w:val="32"/>
          <w:highlight w:val="none"/>
        </w:rPr>
        <w:t>预算</w:t>
      </w:r>
      <w:r>
        <w:rPr>
          <w:rFonts w:eastAsia="方正仿宋_GBK"/>
          <w:sz w:val="32"/>
          <w:szCs w:val="32"/>
          <w:highlight w:val="none"/>
        </w:rPr>
        <w:t>表</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r>
        <w:rPr>
          <w:rFonts w:eastAsia="方正仿宋_GBK"/>
          <w:sz w:val="32"/>
          <w:szCs w:val="32"/>
          <w:highlight w:val="none"/>
        </w:rPr>
        <w:t>表10、重庆市开州区</w:t>
      </w:r>
      <w:r>
        <w:rPr>
          <w:rFonts w:hint="eastAsia" w:eastAsia="方正仿宋_GBK"/>
          <w:sz w:val="32"/>
          <w:szCs w:val="32"/>
          <w:highlight w:val="none"/>
          <w:lang w:val="en-US" w:eastAsia="zh-CN"/>
        </w:rPr>
        <w:t>丰乐街道综合行政执法大队</w:t>
      </w:r>
      <w:r>
        <w:rPr>
          <w:rFonts w:eastAsia="方正仿宋_GBK"/>
          <w:sz w:val="32"/>
          <w:szCs w:val="32"/>
          <w:highlight w:val="none"/>
        </w:rPr>
        <w:t>项目支出表</w:t>
      </w: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rFonts w:eastAsia="方正仿宋_GBK"/>
          <w:sz w:val="32"/>
          <w:szCs w:val="32"/>
          <w:highlight w:val="none"/>
        </w:rPr>
      </w:pPr>
    </w:p>
    <w:p>
      <w:pPr>
        <w:keepNext w:val="0"/>
        <w:keepLines w:val="0"/>
        <w:pageBreakBefore w:val="0"/>
        <w:kinsoku/>
        <w:wordWrap/>
        <w:overflowPunct/>
        <w:topLinePunct w:val="0"/>
        <w:autoSpaceDE/>
        <w:autoSpaceDN/>
        <w:bidi w:val="0"/>
        <w:adjustRightInd/>
        <w:snapToGrid/>
        <w:spacing w:line="594" w:lineRule="exact"/>
        <w:ind w:firstLine="440" w:firstLineChars="100"/>
        <w:jc w:val="center"/>
        <w:textAlignment w:val="auto"/>
        <w:rPr>
          <w:rFonts w:eastAsia="方正小标宋_GBK"/>
          <w:sz w:val="44"/>
          <w:szCs w:val="44"/>
          <w:highlight w:val="none"/>
        </w:rPr>
      </w:pPr>
      <w:r>
        <w:rPr>
          <w:rFonts w:hint="eastAsia" w:eastAsia="方正小标宋_GBK"/>
          <w:sz w:val="44"/>
          <w:szCs w:val="44"/>
          <w:highlight w:val="none"/>
        </w:rPr>
        <w:t>第一部分：</w:t>
      </w:r>
      <w:r>
        <w:rPr>
          <w:rFonts w:hint="eastAsia" w:eastAsia="方正小标宋_GBK"/>
          <w:sz w:val="44"/>
          <w:szCs w:val="44"/>
          <w:highlight w:val="none"/>
          <w:lang w:val="en-US" w:eastAsia="zh-CN"/>
        </w:rPr>
        <w:t>2026</w:t>
      </w:r>
      <w:r>
        <w:rPr>
          <w:rFonts w:hint="eastAsia" w:eastAsia="方正小标宋_GBK"/>
          <w:sz w:val="44"/>
          <w:szCs w:val="44"/>
          <w:highlight w:val="none"/>
        </w:rPr>
        <w:t>年</w:t>
      </w:r>
      <w:r>
        <w:rPr>
          <w:rFonts w:hint="eastAsia" w:eastAsia="方正小标宋_GBK"/>
          <w:sz w:val="44"/>
          <w:szCs w:val="44"/>
          <w:highlight w:val="none"/>
          <w:lang w:eastAsia="zh-CN"/>
        </w:rPr>
        <w:t>单位</w:t>
      </w:r>
      <w:r>
        <w:rPr>
          <w:rFonts w:hint="eastAsia" w:eastAsia="方正小标宋_GBK"/>
          <w:sz w:val="44"/>
          <w:szCs w:val="44"/>
          <w:highlight w:val="none"/>
        </w:rPr>
        <w:t>预算情况说明</w:t>
      </w:r>
    </w:p>
    <w:p>
      <w:pPr>
        <w:keepNext w:val="0"/>
        <w:keepLines w:val="0"/>
        <w:pageBreakBefore w:val="0"/>
        <w:kinsoku/>
        <w:wordWrap/>
        <w:overflowPunct/>
        <w:topLinePunct w:val="0"/>
        <w:autoSpaceDE/>
        <w:autoSpaceDN/>
        <w:bidi w:val="0"/>
        <w:adjustRightInd/>
        <w:snapToGrid/>
        <w:spacing w:line="594" w:lineRule="exact"/>
        <w:ind w:firstLine="880" w:firstLineChars="200"/>
        <w:jc w:val="center"/>
        <w:textAlignment w:val="auto"/>
        <w:rPr>
          <w:rFonts w:eastAsia="华文中宋"/>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640"/>
        <w:textAlignment w:val="auto"/>
        <w:rPr>
          <w:rFonts w:eastAsia="方正黑体_GBK"/>
          <w:sz w:val="32"/>
          <w:highlight w:val="none"/>
        </w:rPr>
      </w:pPr>
      <w:r>
        <w:rPr>
          <w:rFonts w:eastAsia="方正黑体_GBK"/>
          <w:sz w:val="32"/>
          <w:highlight w:val="none"/>
        </w:rPr>
        <w:t>一、单位基本情况</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楷体_GBK" w:eastAsia="方正楷体_GBK"/>
          <w:sz w:val="32"/>
          <w:highlight w:val="none"/>
        </w:rPr>
      </w:pPr>
      <w:r>
        <w:rPr>
          <w:rFonts w:hint="eastAsia" w:ascii="方正楷体_GBK" w:eastAsia="方正楷体_GBK"/>
          <w:sz w:val="32"/>
          <w:highlight w:val="none"/>
        </w:rPr>
        <w:t>（一）职能职责</w:t>
      </w:r>
    </w:p>
    <w:p>
      <w:pPr>
        <w:pStyle w:val="5"/>
        <w:keepNext w:val="0"/>
        <w:keepLines w:val="0"/>
        <w:pageBreakBefore w:val="0"/>
        <w:widowControl/>
        <w:suppressLineNumbers w:val="0"/>
        <w:kinsoku/>
        <w:wordWrap/>
        <w:overflowPunct/>
        <w:topLinePunct w:val="0"/>
        <w:autoSpaceDE/>
        <w:autoSpaceDN/>
        <w:bidi w:val="0"/>
        <w:adjustRightInd/>
        <w:snapToGrid/>
        <w:spacing w:line="594" w:lineRule="exact"/>
        <w:ind w:left="0" w:firstLine="640"/>
        <w:textAlignment w:val="auto"/>
        <w:rPr>
          <w:rFonts w:hint="eastAsia" w:ascii="方正仿宋_GBK" w:hAnsi="方正仿宋_GBK" w:eastAsia="方正仿宋_GBK" w:cs="方正仿宋_GBK"/>
          <w:color w:val="000000"/>
          <w:sz w:val="31"/>
          <w:szCs w:val="31"/>
        </w:rPr>
      </w:pPr>
      <w:r>
        <w:rPr>
          <w:rFonts w:hint="eastAsia" w:ascii="宋体" w:hAnsi="宋体" w:eastAsia="方正仿宋_GBK" w:cs="宋体"/>
          <w:sz w:val="32"/>
          <w:szCs w:val="32"/>
          <w:highlight w:val="none"/>
          <w:lang w:val="en-US" w:eastAsia="zh-CN"/>
        </w:rPr>
        <w:t>根据《中共重庆市开州区委机构编制委员会关于优化调整</w:t>
      </w:r>
      <w:r>
        <w:rPr>
          <w:rFonts w:hint="eastAsia" w:eastAsia="方正仿宋_GBK" w:cs="宋体"/>
          <w:sz w:val="32"/>
          <w:szCs w:val="32"/>
          <w:highlight w:val="none"/>
          <w:lang w:val="en-US" w:eastAsia="zh-CN"/>
        </w:rPr>
        <w:t>丰乐</w:t>
      </w:r>
      <w:r>
        <w:rPr>
          <w:rFonts w:hint="eastAsia" w:ascii="宋体" w:hAnsi="宋体" w:eastAsia="方正仿宋_GBK" w:cs="宋体"/>
          <w:sz w:val="32"/>
          <w:szCs w:val="32"/>
          <w:highlight w:val="none"/>
          <w:lang w:val="en-US" w:eastAsia="zh-CN"/>
        </w:rPr>
        <w:t>街道机构设置、职能配置和人员编制的通知》（</w:t>
      </w:r>
      <w:r>
        <w:rPr>
          <w:rFonts w:hint="default" w:ascii="Times New Roman" w:hAnsi="Times New Roman" w:eastAsia="方正仿宋_GBK" w:cs="Times New Roman"/>
          <w:sz w:val="32"/>
          <w:szCs w:val="32"/>
          <w:highlight w:val="none"/>
          <w:lang w:val="en-US" w:eastAsia="zh-CN"/>
        </w:rPr>
        <w:t>开州委编〔2024〕38号</w:t>
      </w:r>
      <w:r>
        <w:rPr>
          <w:rFonts w:hint="eastAsia" w:ascii="宋体" w:hAnsi="宋体" w:eastAsia="方正仿宋_GBK" w:cs="宋体"/>
          <w:sz w:val="32"/>
          <w:szCs w:val="32"/>
          <w:highlight w:val="none"/>
          <w:lang w:val="en-US" w:eastAsia="zh-CN"/>
        </w:rPr>
        <w:t>）文件，</w:t>
      </w:r>
      <w:r>
        <w:rPr>
          <w:rFonts w:eastAsia="方正仿宋_GBK"/>
          <w:sz w:val="32"/>
          <w:szCs w:val="32"/>
          <w:highlight w:val="none"/>
        </w:rPr>
        <w:t>重庆市开州区</w:t>
      </w:r>
      <w:r>
        <w:rPr>
          <w:rFonts w:hint="eastAsia" w:eastAsia="方正仿宋_GBK"/>
          <w:sz w:val="32"/>
          <w:szCs w:val="32"/>
          <w:highlight w:val="none"/>
          <w:lang w:val="en-US" w:eastAsia="zh-CN"/>
        </w:rPr>
        <w:t>丰乐街道综合行政执法大队职能职责是：</w:t>
      </w:r>
      <w:r>
        <w:rPr>
          <w:rFonts w:hint="eastAsia" w:ascii="方正仿宋_GBK" w:hAnsi="方正仿宋_GBK" w:eastAsia="方正仿宋_GBK" w:cs="方正仿宋_GBK"/>
          <w:color w:val="000000"/>
          <w:sz w:val="31"/>
          <w:szCs w:val="31"/>
        </w:rPr>
        <w:t>为综合行政执法提供保障，推</w:t>
      </w:r>
      <w:r>
        <w:rPr>
          <w:rFonts w:hint="eastAsia" w:ascii="方正仿宋_GBK" w:hAnsi="方正仿宋_GBK" w:eastAsia="方正仿宋_GBK" w:cs="方正仿宋_GBK"/>
          <w:color w:val="000000"/>
          <w:kern w:val="0"/>
          <w:sz w:val="31"/>
          <w:szCs w:val="31"/>
          <w:lang w:val="en-US" w:eastAsia="zh-CN" w:bidi="ar"/>
        </w:rPr>
        <w:t>进严格规范公正文明执法，对应承接平安法治办公室相</w:t>
      </w:r>
      <w:r>
        <w:rPr>
          <w:rFonts w:hint="eastAsia" w:ascii="方正仿宋_GBK" w:hAnsi="方正仿宋_GBK" w:eastAsia="方正仿宋_GBK" w:cs="方正仿宋_GBK"/>
          <w:color w:val="000000"/>
          <w:sz w:val="31"/>
          <w:szCs w:val="31"/>
        </w:rPr>
        <w:t>关辅助性、事务性工作。负责集中行使依法授权或委托的行政执法权，对照</w:t>
      </w:r>
      <w:r>
        <w:rPr>
          <w:rFonts w:hint="default" w:ascii="Times New Roman" w:hAnsi="Times New Roman" w:cs="Times New Roman"/>
          <w:color w:val="000000"/>
          <w:sz w:val="31"/>
          <w:szCs w:val="31"/>
        </w:rPr>
        <w:t>“</w:t>
      </w:r>
      <w:r>
        <w:rPr>
          <w:rFonts w:hint="eastAsia" w:ascii="方正仿宋_GBK" w:hAnsi="方正仿宋_GBK" w:eastAsia="方正仿宋_GBK" w:cs="方正仿宋_GBK"/>
          <w:color w:val="000000"/>
          <w:sz w:val="31"/>
          <w:szCs w:val="31"/>
        </w:rPr>
        <w:t>法定执法</w:t>
      </w:r>
      <w:r>
        <w:rPr>
          <w:rFonts w:hint="default" w:ascii="Times New Roman" w:hAnsi="Times New Roman" w:cs="Times New Roman"/>
          <w:color w:val="000000"/>
          <w:sz w:val="31"/>
          <w:szCs w:val="31"/>
        </w:rPr>
        <w:t>+</w:t>
      </w:r>
      <w:r>
        <w:rPr>
          <w:rFonts w:hint="eastAsia" w:ascii="方正仿宋_GBK" w:hAnsi="方正仿宋_GBK" w:eastAsia="方正仿宋_GBK" w:cs="方正仿宋_GBK"/>
          <w:color w:val="000000"/>
          <w:sz w:val="31"/>
          <w:szCs w:val="31"/>
        </w:rPr>
        <w:t>赋权执法</w:t>
      </w:r>
      <w:r>
        <w:rPr>
          <w:rFonts w:hint="default" w:ascii="Times New Roman" w:hAnsi="Times New Roman" w:cs="Times New Roman"/>
          <w:color w:val="000000"/>
          <w:sz w:val="31"/>
          <w:szCs w:val="31"/>
        </w:rPr>
        <w:t>+</w:t>
      </w:r>
      <w:r>
        <w:rPr>
          <w:rFonts w:hint="eastAsia" w:ascii="方正仿宋_GBK" w:hAnsi="方正仿宋_GBK" w:eastAsia="方正仿宋_GBK" w:cs="方正仿宋_GBK"/>
          <w:color w:val="000000"/>
          <w:sz w:val="31"/>
          <w:szCs w:val="31"/>
        </w:rPr>
        <w:t>委托执法</w:t>
      </w:r>
      <w:r>
        <w:rPr>
          <w:rFonts w:hint="default" w:ascii="Times New Roman" w:hAnsi="Times New Roman" w:cs="Times New Roman"/>
          <w:color w:val="000000"/>
          <w:sz w:val="31"/>
          <w:szCs w:val="31"/>
        </w:rPr>
        <w:t>”</w:t>
      </w:r>
      <w:r>
        <w:rPr>
          <w:rFonts w:hint="eastAsia" w:ascii="方正仿宋_GBK" w:hAnsi="方正仿宋_GBK" w:eastAsia="方正仿宋_GBK" w:cs="方正仿宋_GBK"/>
          <w:color w:val="000000"/>
          <w:sz w:val="31"/>
          <w:szCs w:val="31"/>
        </w:rPr>
        <w:t>事项清单，开展有关执法工作；协助、配合区级有关</w:t>
      </w:r>
      <w:r>
        <w:rPr>
          <w:rFonts w:hint="eastAsia" w:ascii="方正仿宋_GBK" w:hAnsi="方正仿宋_GBK" w:eastAsia="方正仿宋_GBK" w:cs="方正仿宋_GBK"/>
          <w:color w:val="000000"/>
          <w:sz w:val="31"/>
          <w:szCs w:val="31"/>
          <w:lang w:eastAsia="zh-CN"/>
        </w:rPr>
        <w:t>单位</w:t>
      </w:r>
      <w:r>
        <w:rPr>
          <w:rFonts w:hint="eastAsia" w:ascii="方正仿宋_GBK" w:hAnsi="方正仿宋_GBK" w:eastAsia="方正仿宋_GBK" w:cs="方正仿宋_GBK"/>
          <w:color w:val="000000"/>
          <w:sz w:val="31"/>
          <w:szCs w:val="31"/>
        </w:rPr>
        <w:t>及其派驻机构开展联合执法。</w:t>
      </w:r>
    </w:p>
    <w:p>
      <w:pPr>
        <w:pStyle w:val="8"/>
        <w:keepNext w:val="0"/>
        <w:keepLines w:val="0"/>
        <w:pageBreakBefore w:val="0"/>
        <w:tabs>
          <w:tab w:val="center" w:pos="4153"/>
          <w:tab w:val="left" w:pos="7275"/>
        </w:tabs>
        <w:kinsoku/>
        <w:wordWrap/>
        <w:overflowPunct/>
        <w:topLinePunct w:val="0"/>
        <w:autoSpaceDE/>
        <w:autoSpaceDN/>
        <w:bidi w:val="0"/>
        <w:adjustRightInd/>
        <w:snapToGrid/>
        <w:spacing w:line="594" w:lineRule="exact"/>
        <w:ind w:left="640" w:firstLine="0" w:firstLineChars="0"/>
        <w:jc w:val="left"/>
        <w:textAlignment w:val="auto"/>
        <w:rPr>
          <w:rFonts w:hint="eastAsia" w:ascii="方正楷体_GBK" w:hAnsi="Times New Roman" w:eastAsia="方正楷体_GBK"/>
          <w:sz w:val="32"/>
          <w:highlight w:val="none"/>
        </w:rPr>
      </w:pPr>
      <w:r>
        <w:rPr>
          <w:rFonts w:hint="eastAsia" w:ascii="方正楷体_GBK" w:hAnsi="Times New Roman" w:eastAsia="方正楷体_GBK"/>
          <w:sz w:val="32"/>
          <w:highlight w:val="none"/>
        </w:rPr>
        <w:t>（二）单位构成</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eastAsia="方正仿宋_GBK"/>
          <w:sz w:val="32"/>
          <w:highlight w:val="none"/>
          <w:lang w:val="en-US" w:eastAsia="zh-CN"/>
        </w:rPr>
      </w:pPr>
      <w:r>
        <w:rPr>
          <w:rFonts w:hint="eastAsia" w:ascii="方正仿宋_GBK" w:hAnsi="方正仿宋_GBK" w:eastAsia="方正仿宋_GBK" w:cs="方正仿宋_GBK"/>
          <w:kern w:val="2"/>
          <w:sz w:val="32"/>
          <w:szCs w:val="24"/>
          <w:lang w:val="en-US" w:eastAsia="zh-CN" w:bidi="ar-SA"/>
        </w:rPr>
        <w:t>从预算单位构成看，</w:t>
      </w:r>
      <w:r>
        <w:rPr>
          <w:rFonts w:eastAsia="方正仿宋_GBK"/>
          <w:sz w:val="32"/>
          <w:szCs w:val="32"/>
          <w:highlight w:val="none"/>
        </w:rPr>
        <w:t>重庆市开州区</w:t>
      </w:r>
      <w:r>
        <w:rPr>
          <w:rFonts w:hint="eastAsia" w:eastAsia="方正仿宋_GBK"/>
          <w:sz w:val="32"/>
          <w:szCs w:val="32"/>
          <w:highlight w:val="none"/>
          <w:lang w:val="en-US" w:eastAsia="zh-CN"/>
        </w:rPr>
        <w:t>丰乐街道综合行政执法大队</w:t>
      </w:r>
      <w:r>
        <w:rPr>
          <w:rFonts w:hint="eastAsia" w:ascii="方正仿宋_GBK" w:hAnsi="方正仿宋_GBK" w:eastAsia="方正仿宋_GBK" w:cs="方正仿宋_GBK"/>
          <w:kern w:val="2"/>
          <w:sz w:val="32"/>
          <w:szCs w:val="24"/>
          <w:lang w:val="en-US" w:eastAsia="zh-CN" w:bidi="ar-SA"/>
        </w:rPr>
        <w:t>属于二级预算单位，主管单位为重庆市开州区人民政府丰乐街道办事处。</w:t>
      </w:r>
    </w:p>
    <w:p>
      <w:pPr>
        <w:keepNext w:val="0"/>
        <w:keepLines w:val="0"/>
        <w:pageBreakBefore w:val="0"/>
        <w:kinsoku/>
        <w:wordWrap/>
        <w:overflowPunct/>
        <w:topLinePunct w:val="0"/>
        <w:autoSpaceDE/>
        <w:autoSpaceDN/>
        <w:bidi w:val="0"/>
        <w:adjustRightInd/>
        <w:snapToGrid/>
        <w:spacing w:line="594" w:lineRule="exact"/>
        <w:ind w:left="640"/>
        <w:textAlignment w:val="auto"/>
        <w:rPr>
          <w:rFonts w:eastAsia="方正仿宋_GBK"/>
          <w:sz w:val="32"/>
          <w:highlight w:val="none"/>
        </w:rPr>
      </w:pPr>
      <w:r>
        <w:rPr>
          <w:rFonts w:eastAsia="方正黑体_GBK"/>
          <w:sz w:val="32"/>
          <w:highlight w:val="none"/>
        </w:rPr>
        <w:t>二、</w:t>
      </w:r>
      <w:r>
        <w:rPr>
          <w:rFonts w:hint="eastAsia" w:eastAsia="方正黑体_GBK"/>
          <w:sz w:val="32"/>
          <w:highlight w:val="none"/>
          <w:lang w:eastAsia="zh-CN"/>
        </w:rPr>
        <w:t>单位</w:t>
      </w:r>
      <w:r>
        <w:rPr>
          <w:rFonts w:eastAsia="方正黑体_GBK"/>
          <w:sz w:val="32"/>
          <w:highlight w:val="none"/>
        </w:rPr>
        <w:t>收支总体情况</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eastAsia="方正仿宋_GBK"/>
          <w:sz w:val="32"/>
          <w:highlight w:val="none"/>
        </w:rPr>
      </w:pPr>
      <w:r>
        <w:rPr>
          <w:rFonts w:hint="eastAsia" w:ascii="方正楷体_GBK" w:eastAsia="方正楷体_GBK"/>
          <w:sz w:val="32"/>
          <w:highlight w:val="none"/>
        </w:rPr>
        <w:t>（一）收入预算：</w:t>
      </w:r>
      <w:r>
        <w:rPr>
          <w:rFonts w:hint="eastAsia" w:eastAsia="方正仿宋_GBK"/>
          <w:sz w:val="32"/>
          <w:highlight w:val="none"/>
          <w:lang w:val="en-US" w:eastAsia="zh-CN"/>
        </w:rPr>
        <w:t>2026</w:t>
      </w:r>
      <w:r>
        <w:rPr>
          <w:rFonts w:eastAsia="方正仿宋_GBK"/>
          <w:sz w:val="32"/>
          <w:highlight w:val="none"/>
        </w:rPr>
        <w:t>年年初预算数</w:t>
      </w:r>
      <w:r>
        <w:rPr>
          <w:rFonts w:hint="eastAsia" w:eastAsia="方正仿宋_GBK"/>
          <w:sz w:val="32"/>
          <w:highlight w:val="none"/>
          <w:lang w:val="en-US" w:eastAsia="zh-CN"/>
        </w:rPr>
        <w:t>351.75</w:t>
      </w:r>
      <w:r>
        <w:rPr>
          <w:rFonts w:eastAsia="方正仿宋_GBK"/>
          <w:sz w:val="32"/>
          <w:highlight w:val="none"/>
        </w:rPr>
        <w:t>万元</w:t>
      </w:r>
      <w:r>
        <w:rPr>
          <w:rFonts w:hint="eastAsia" w:eastAsia="方正仿宋_GBK"/>
          <w:sz w:val="32"/>
          <w:highlight w:val="none"/>
          <w:lang w:eastAsia="zh-CN"/>
        </w:rPr>
        <w:t>，</w:t>
      </w:r>
      <w:r>
        <w:rPr>
          <w:rFonts w:eastAsia="方正仿宋_GBK"/>
          <w:sz w:val="32"/>
          <w:highlight w:val="none"/>
        </w:rPr>
        <w:t>上年结转</w:t>
      </w:r>
      <w:r>
        <w:rPr>
          <w:rFonts w:hint="eastAsia" w:eastAsia="方正仿宋_GBK"/>
          <w:sz w:val="32"/>
          <w:highlight w:val="none"/>
          <w:lang w:val="en-US" w:eastAsia="zh-CN"/>
        </w:rPr>
        <w:t>0</w:t>
      </w:r>
      <w:r>
        <w:rPr>
          <w:rFonts w:eastAsia="方正仿宋_GBK"/>
          <w:sz w:val="32"/>
          <w:highlight w:val="none"/>
        </w:rPr>
        <w:t>万元，其中：一般公共预算拨款</w:t>
      </w:r>
      <w:r>
        <w:rPr>
          <w:rFonts w:hint="eastAsia" w:eastAsia="方正仿宋_GBK"/>
          <w:sz w:val="32"/>
          <w:highlight w:val="none"/>
          <w:lang w:eastAsia="zh-CN"/>
        </w:rPr>
        <w:t>收入</w:t>
      </w:r>
      <w:r>
        <w:rPr>
          <w:rFonts w:hint="eastAsia" w:eastAsia="方正仿宋_GBK"/>
          <w:sz w:val="32"/>
          <w:highlight w:val="none"/>
          <w:lang w:val="en-US" w:eastAsia="zh-CN"/>
        </w:rPr>
        <w:t>351.75</w:t>
      </w:r>
      <w:r>
        <w:rPr>
          <w:rFonts w:eastAsia="方正仿宋_GBK"/>
          <w:sz w:val="32"/>
          <w:highlight w:val="none"/>
        </w:rPr>
        <w:t>万元</w:t>
      </w:r>
      <w:r>
        <w:rPr>
          <w:rFonts w:hint="eastAsia" w:eastAsia="方正仿宋_GBK"/>
          <w:sz w:val="32"/>
          <w:highlight w:val="none"/>
          <w:lang w:eastAsia="zh-CN"/>
        </w:rPr>
        <w:t>，</w:t>
      </w:r>
      <w:r>
        <w:rPr>
          <w:rFonts w:eastAsia="方正仿宋_GBK"/>
          <w:sz w:val="32"/>
          <w:highlight w:val="none"/>
        </w:rPr>
        <w:t>上年结转</w:t>
      </w:r>
      <w:r>
        <w:rPr>
          <w:rFonts w:hint="eastAsia" w:eastAsia="方正仿宋_GBK"/>
          <w:sz w:val="32"/>
          <w:highlight w:val="none"/>
          <w:lang w:val="en-US" w:eastAsia="zh-CN"/>
        </w:rPr>
        <w:t>0</w:t>
      </w:r>
      <w:r>
        <w:rPr>
          <w:rFonts w:eastAsia="方正仿宋_GBK"/>
          <w:sz w:val="32"/>
          <w:highlight w:val="none"/>
        </w:rPr>
        <w:t>万元，政府性基金预算拨款</w:t>
      </w:r>
      <w:r>
        <w:rPr>
          <w:rFonts w:hint="eastAsia" w:eastAsia="方正仿宋_GBK"/>
          <w:sz w:val="32"/>
          <w:highlight w:val="none"/>
          <w:lang w:eastAsia="zh-CN"/>
        </w:rPr>
        <w:t>收入</w:t>
      </w:r>
      <w:r>
        <w:rPr>
          <w:rFonts w:hint="eastAsia" w:eastAsia="方正仿宋_GBK"/>
          <w:sz w:val="32"/>
          <w:highlight w:val="none"/>
          <w:lang w:val="en-US" w:eastAsia="zh-CN"/>
        </w:rPr>
        <w:t>0</w:t>
      </w:r>
      <w:r>
        <w:rPr>
          <w:rFonts w:eastAsia="方正仿宋_GBK"/>
          <w:sz w:val="32"/>
          <w:highlight w:val="none"/>
        </w:rPr>
        <w:t>万元</w:t>
      </w:r>
      <w:r>
        <w:rPr>
          <w:rFonts w:hint="eastAsia" w:eastAsia="方正仿宋_GBK"/>
          <w:sz w:val="32"/>
          <w:highlight w:val="none"/>
          <w:lang w:eastAsia="zh-CN"/>
        </w:rPr>
        <w:t>，</w:t>
      </w:r>
      <w:r>
        <w:rPr>
          <w:rFonts w:eastAsia="方正仿宋_GBK"/>
          <w:sz w:val="32"/>
          <w:highlight w:val="none"/>
        </w:rPr>
        <w:t>上年结转</w:t>
      </w:r>
      <w:r>
        <w:rPr>
          <w:rFonts w:hint="eastAsia" w:eastAsia="方正仿宋_GBK"/>
          <w:sz w:val="32"/>
          <w:highlight w:val="none"/>
          <w:lang w:val="en-US" w:eastAsia="zh-CN"/>
        </w:rPr>
        <w:t>0</w:t>
      </w:r>
      <w:r>
        <w:rPr>
          <w:rFonts w:eastAsia="方正仿宋_GBK"/>
          <w:sz w:val="32"/>
          <w:highlight w:val="none"/>
        </w:rPr>
        <w:t>万元，国有资本经营预算</w:t>
      </w:r>
      <w:r>
        <w:rPr>
          <w:rFonts w:hint="eastAsia" w:eastAsia="方正仿宋_GBK"/>
          <w:sz w:val="32"/>
          <w:highlight w:val="none"/>
          <w:lang w:eastAsia="zh-CN"/>
        </w:rPr>
        <w:t>拨款</w:t>
      </w:r>
      <w:r>
        <w:rPr>
          <w:rFonts w:eastAsia="方正仿宋_GBK"/>
          <w:sz w:val="32"/>
          <w:highlight w:val="none"/>
        </w:rPr>
        <w:t>收入</w:t>
      </w:r>
      <w:r>
        <w:rPr>
          <w:rFonts w:hint="eastAsia" w:eastAsia="方正仿宋_GBK"/>
          <w:sz w:val="32"/>
          <w:highlight w:val="none"/>
          <w:lang w:val="en-US" w:eastAsia="zh-CN"/>
        </w:rPr>
        <w:t>0</w:t>
      </w:r>
      <w:r>
        <w:rPr>
          <w:rFonts w:eastAsia="方正仿宋_GBK"/>
          <w:sz w:val="32"/>
          <w:highlight w:val="none"/>
        </w:rPr>
        <w:t>万元</w:t>
      </w:r>
      <w:r>
        <w:rPr>
          <w:rFonts w:hint="eastAsia" w:eastAsia="方正仿宋_GBK"/>
          <w:sz w:val="32"/>
          <w:highlight w:val="none"/>
          <w:lang w:eastAsia="zh-CN"/>
        </w:rPr>
        <w:t>，</w:t>
      </w:r>
      <w:r>
        <w:rPr>
          <w:rFonts w:eastAsia="方正仿宋_GBK"/>
          <w:sz w:val="32"/>
          <w:highlight w:val="none"/>
        </w:rPr>
        <w:t>上年结转</w:t>
      </w:r>
      <w:r>
        <w:rPr>
          <w:rFonts w:hint="eastAsia" w:eastAsia="方正仿宋_GBK"/>
          <w:sz w:val="32"/>
          <w:highlight w:val="none"/>
          <w:lang w:val="en-US" w:eastAsia="zh-CN"/>
        </w:rPr>
        <w:t>0</w:t>
      </w:r>
      <w:r>
        <w:rPr>
          <w:rFonts w:eastAsia="方正仿宋_GBK"/>
          <w:sz w:val="32"/>
          <w:highlight w:val="none"/>
        </w:rPr>
        <w:t>万元，事业收入</w:t>
      </w:r>
      <w:r>
        <w:rPr>
          <w:rFonts w:hint="eastAsia" w:eastAsia="方正仿宋_GBK"/>
          <w:sz w:val="32"/>
          <w:highlight w:val="none"/>
          <w:lang w:val="en-US" w:eastAsia="zh-CN"/>
        </w:rPr>
        <w:t>0</w:t>
      </w:r>
      <w:r>
        <w:rPr>
          <w:rFonts w:eastAsia="方正仿宋_GBK"/>
          <w:sz w:val="32"/>
          <w:highlight w:val="none"/>
        </w:rPr>
        <w:t>万元，事业单位经营收入</w:t>
      </w:r>
      <w:r>
        <w:rPr>
          <w:rFonts w:hint="eastAsia" w:eastAsia="方正仿宋_GBK"/>
          <w:sz w:val="32"/>
          <w:highlight w:val="none"/>
          <w:lang w:val="en-US" w:eastAsia="zh-CN"/>
        </w:rPr>
        <w:t>0</w:t>
      </w:r>
      <w:r>
        <w:rPr>
          <w:rFonts w:eastAsia="方正仿宋_GBK"/>
          <w:sz w:val="32"/>
          <w:highlight w:val="none"/>
        </w:rPr>
        <w:t>万元，其他收入</w:t>
      </w:r>
      <w:r>
        <w:rPr>
          <w:rFonts w:hint="eastAsia" w:eastAsia="方正仿宋_GBK"/>
          <w:sz w:val="32"/>
          <w:highlight w:val="none"/>
          <w:lang w:val="en-US" w:eastAsia="zh-CN"/>
        </w:rPr>
        <w:t>0</w:t>
      </w:r>
      <w:r>
        <w:rPr>
          <w:rFonts w:eastAsia="方正仿宋_GBK"/>
          <w:sz w:val="32"/>
          <w:highlight w:val="none"/>
        </w:rPr>
        <w:t>万元。收入较</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351.75</w:t>
      </w:r>
      <w:r>
        <w:rPr>
          <w:rFonts w:eastAsia="方正仿宋_GBK"/>
          <w:sz w:val="32"/>
          <w:highlight w:val="none"/>
        </w:rPr>
        <w:t>万元，主要是一般公共预算拨款</w:t>
      </w:r>
      <w:r>
        <w:rPr>
          <w:rFonts w:hint="eastAsia" w:eastAsia="方正仿宋_GBK"/>
          <w:sz w:val="32"/>
          <w:highlight w:val="none"/>
          <w:lang w:eastAsia="zh-CN"/>
        </w:rPr>
        <w:t>收入</w:t>
      </w:r>
      <w:r>
        <w:rPr>
          <w:rFonts w:eastAsia="方正仿宋_GBK"/>
          <w:sz w:val="32"/>
          <w:highlight w:val="none"/>
        </w:rPr>
        <w:t>款增加</w:t>
      </w:r>
      <w:r>
        <w:rPr>
          <w:rFonts w:hint="eastAsia" w:eastAsia="方正仿宋_GBK"/>
          <w:sz w:val="32"/>
          <w:highlight w:val="none"/>
          <w:lang w:val="en-US" w:eastAsia="zh-CN"/>
        </w:rPr>
        <w:t>351.75</w:t>
      </w:r>
      <w:r>
        <w:rPr>
          <w:rFonts w:eastAsia="方正仿宋_GBK"/>
          <w:sz w:val="32"/>
          <w:highlight w:val="none"/>
        </w:rPr>
        <w:t>万元。</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eastAsia="方正仿宋_GBK"/>
          <w:sz w:val="32"/>
          <w:highlight w:val="none"/>
        </w:rPr>
      </w:pPr>
      <w:r>
        <w:rPr>
          <w:rFonts w:hint="eastAsia" w:ascii="方正楷体_GBK" w:eastAsia="方正楷体_GBK"/>
          <w:sz w:val="32"/>
          <w:highlight w:val="none"/>
        </w:rPr>
        <w:t>（二）支出预算：</w:t>
      </w:r>
      <w:r>
        <w:rPr>
          <w:rFonts w:hint="eastAsia" w:eastAsia="方正仿宋_GBK"/>
          <w:sz w:val="32"/>
          <w:highlight w:val="none"/>
          <w:lang w:val="en-US" w:eastAsia="zh-CN"/>
        </w:rPr>
        <w:t>2026</w:t>
      </w:r>
      <w:r>
        <w:rPr>
          <w:rFonts w:eastAsia="方正仿宋_GBK"/>
          <w:sz w:val="32"/>
          <w:highlight w:val="none"/>
        </w:rPr>
        <w:t>年年初预算数</w:t>
      </w:r>
      <w:r>
        <w:rPr>
          <w:rFonts w:hint="eastAsia" w:eastAsia="方正仿宋_GBK"/>
          <w:sz w:val="32"/>
          <w:highlight w:val="none"/>
          <w:lang w:val="en-US" w:eastAsia="zh-CN"/>
        </w:rPr>
        <w:t>351.75</w:t>
      </w:r>
      <w:r>
        <w:rPr>
          <w:rFonts w:eastAsia="方正仿宋_GBK"/>
          <w:sz w:val="32"/>
          <w:highlight w:val="none"/>
        </w:rPr>
        <w:t>万元，其中：一般公共服务支出预算</w:t>
      </w:r>
      <w:r>
        <w:rPr>
          <w:rFonts w:hint="eastAsia" w:eastAsia="方正仿宋_GBK"/>
          <w:sz w:val="32"/>
          <w:highlight w:val="none"/>
          <w:lang w:val="en-US" w:eastAsia="zh-CN"/>
        </w:rPr>
        <w:t>265.41</w:t>
      </w:r>
      <w:r>
        <w:rPr>
          <w:rFonts w:eastAsia="方正仿宋_GBK"/>
          <w:sz w:val="32"/>
          <w:highlight w:val="none"/>
        </w:rPr>
        <w:t>万元，社会保障和就业支出预算</w:t>
      </w:r>
      <w:r>
        <w:rPr>
          <w:rFonts w:hint="eastAsia" w:eastAsia="方正仿宋_GBK"/>
          <w:sz w:val="32"/>
          <w:highlight w:val="none"/>
          <w:lang w:val="en-US" w:eastAsia="zh-CN"/>
        </w:rPr>
        <w:t>51.62</w:t>
      </w:r>
      <w:r>
        <w:rPr>
          <w:rFonts w:eastAsia="方正仿宋_GBK"/>
          <w:sz w:val="32"/>
          <w:highlight w:val="none"/>
        </w:rPr>
        <w:t>万元，卫生健康支出预算</w:t>
      </w:r>
      <w:r>
        <w:rPr>
          <w:rFonts w:hint="eastAsia" w:eastAsia="方正仿宋_GBK"/>
          <w:sz w:val="32"/>
          <w:highlight w:val="none"/>
          <w:lang w:val="en-US" w:eastAsia="zh-CN"/>
        </w:rPr>
        <w:t>17.52</w:t>
      </w:r>
      <w:r>
        <w:rPr>
          <w:rFonts w:eastAsia="方正仿宋_GBK"/>
          <w:sz w:val="32"/>
          <w:highlight w:val="none"/>
        </w:rPr>
        <w:t>万元，住房保障支出预算</w:t>
      </w:r>
      <w:r>
        <w:rPr>
          <w:rFonts w:hint="eastAsia" w:eastAsia="方正仿宋_GBK"/>
          <w:sz w:val="32"/>
          <w:highlight w:val="none"/>
          <w:lang w:val="en-US" w:eastAsia="zh-CN"/>
        </w:rPr>
        <w:t>17.2</w:t>
      </w:r>
      <w:r>
        <w:rPr>
          <w:rFonts w:eastAsia="方正仿宋_GBK"/>
          <w:sz w:val="32"/>
          <w:highlight w:val="none"/>
        </w:rPr>
        <w:t>万元。支出预算较</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351.75</w:t>
      </w:r>
      <w:r>
        <w:rPr>
          <w:rFonts w:eastAsia="方正仿宋_GBK"/>
          <w:sz w:val="32"/>
          <w:highlight w:val="none"/>
        </w:rPr>
        <w:t>万元，主要是基本支出预算增加</w:t>
      </w:r>
      <w:r>
        <w:rPr>
          <w:rFonts w:hint="eastAsia" w:eastAsia="方正仿宋_GBK"/>
          <w:sz w:val="32"/>
          <w:highlight w:val="none"/>
          <w:lang w:val="en-US" w:eastAsia="zh-CN"/>
        </w:rPr>
        <w:t>351.75</w:t>
      </w:r>
      <w:r>
        <w:rPr>
          <w:rFonts w:eastAsia="方正仿宋_GBK"/>
          <w:sz w:val="32"/>
          <w:highlight w:val="none"/>
        </w:rPr>
        <w:t>万元，项目支出预算增加</w:t>
      </w:r>
      <w:r>
        <w:rPr>
          <w:rFonts w:hint="eastAsia" w:eastAsia="方正仿宋_GBK"/>
          <w:sz w:val="32"/>
          <w:highlight w:val="none"/>
          <w:lang w:val="en-US" w:eastAsia="zh-CN"/>
        </w:rPr>
        <w:t>0</w:t>
      </w:r>
      <w:r>
        <w:rPr>
          <w:rFonts w:eastAsia="方正仿宋_GBK"/>
          <w:sz w:val="32"/>
          <w:highlight w:val="none"/>
        </w:rPr>
        <w:t>万元。</w:t>
      </w:r>
      <w:r>
        <w:rPr>
          <w:rFonts w:hint="eastAsia" w:eastAsia="方正仿宋_GBK"/>
          <w:sz w:val="32"/>
          <w:highlight w:val="none"/>
        </w:rPr>
        <w:t>由于四舍五入因素，部分分项加和与总计可能略有差异，下同。</w:t>
      </w:r>
    </w:p>
    <w:p>
      <w:pPr>
        <w:keepNext w:val="0"/>
        <w:keepLines w:val="0"/>
        <w:pageBreakBefore w:val="0"/>
        <w:kinsoku/>
        <w:wordWrap/>
        <w:overflowPunct/>
        <w:topLinePunct w:val="0"/>
        <w:autoSpaceDE/>
        <w:autoSpaceDN/>
        <w:bidi w:val="0"/>
        <w:adjustRightInd/>
        <w:snapToGrid/>
        <w:spacing w:line="594" w:lineRule="exact"/>
        <w:ind w:left="640"/>
        <w:textAlignment w:val="auto"/>
        <w:rPr>
          <w:rFonts w:eastAsia="方正黑体_GBK"/>
          <w:sz w:val="32"/>
          <w:highlight w:val="none"/>
        </w:rPr>
      </w:pPr>
      <w:r>
        <w:rPr>
          <w:rFonts w:eastAsia="方正黑体_GBK"/>
          <w:sz w:val="32"/>
          <w:highlight w:val="none"/>
        </w:rPr>
        <w:t>三、</w:t>
      </w:r>
      <w:r>
        <w:rPr>
          <w:rFonts w:hint="eastAsia" w:eastAsia="方正黑体_GBK"/>
          <w:sz w:val="32"/>
          <w:highlight w:val="none"/>
          <w:lang w:eastAsia="zh-CN"/>
        </w:rPr>
        <w:t>单位</w:t>
      </w:r>
      <w:r>
        <w:rPr>
          <w:rFonts w:eastAsia="方正黑体_GBK"/>
          <w:sz w:val="32"/>
          <w:highlight w:val="none"/>
        </w:rPr>
        <w:t>预算情况说明</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eastAsia="方正仿宋_GBK"/>
          <w:sz w:val="32"/>
          <w:highlight w:val="none"/>
        </w:rPr>
      </w:pPr>
      <w:r>
        <w:rPr>
          <w:rFonts w:hint="eastAsia" w:eastAsia="方正仿宋_GBK"/>
          <w:sz w:val="32"/>
          <w:highlight w:val="none"/>
          <w:lang w:val="en-US" w:eastAsia="zh-CN"/>
        </w:rPr>
        <w:t>2026</w:t>
      </w:r>
      <w:r>
        <w:rPr>
          <w:rFonts w:eastAsia="方正仿宋_GBK"/>
          <w:sz w:val="32"/>
          <w:highlight w:val="none"/>
        </w:rPr>
        <w:t>年一般公共预算财政拨款收入</w:t>
      </w:r>
      <w:r>
        <w:rPr>
          <w:rFonts w:hint="eastAsia" w:eastAsia="方正仿宋_GBK"/>
          <w:sz w:val="32"/>
          <w:highlight w:val="none"/>
          <w:lang w:val="en-US" w:eastAsia="zh-CN"/>
        </w:rPr>
        <w:t>351.75</w:t>
      </w:r>
      <w:r>
        <w:rPr>
          <w:rFonts w:eastAsia="方正仿宋_GBK"/>
          <w:sz w:val="32"/>
          <w:highlight w:val="none"/>
        </w:rPr>
        <w:t>万元，一般公共预算财政拨款支出</w:t>
      </w:r>
      <w:r>
        <w:rPr>
          <w:rFonts w:hint="eastAsia" w:eastAsia="方正仿宋_GBK"/>
          <w:sz w:val="32"/>
          <w:highlight w:val="none"/>
          <w:lang w:val="en-US" w:eastAsia="zh-CN"/>
        </w:rPr>
        <w:t>351.75</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351.75</w:t>
      </w:r>
      <w:r>
        <w:rPr>
          <w:rFonts w:eastAsia="方正仿宋_GBK"/>
          <w:sz w:val="32"/>
          <w:highlight w:val="none"/>
        </w:rPr>
        <w:t>万元。其中：基本支出</w:t>
      </w:r>
      <w:r>
        <w:rPr>
          <w:rFonts w:hint="eastAsia" w:eastAsia="方正仿宋_GBK"/>
          <w:sz w:val="32"/>
          <w:highlight w:val="none"/>
          <w:lang w:val="en-US" w:eastAsia="zh-CN"/>
        </w:rPr>
        <w:t>351.75</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351.75</w:t>
      </w:r>
      <w:r>
        <w:rPr>
          <w:rFonts w:eastAsia="方正仿宋_GBK"/>
          <w:sz w:val="32"/>
          <w:highlight w:val="none"/>
        </w:rPr>
        <w:t>万元，主要原因是</w:t>
      </w:r>
      <w:r>
        <w:rPr>
          <w:rFonts w:hint="eastAsia" w:eastAsia="方正仿宋_GBK"/>
          <w:sz w:val="32"/>
          <w:highlight w:val="none"/>
          <w:lang w:val="en-US" w:eastAsia="zh-CN"/>
        </w:rPr>
        <w:t>按照要求进行独立核算</w:t>
      </w:r>
      <w:r>
        <w:rPr>
          <w:rFonts w:eastAsia="方正仿宋_GBK"/>
          <w:sz w:val="32"/>
          <w:highlight w:val="none"/>
        </w:rPr>
        <w:t>，主要用于保障在职人员工资福利及社会保险缴费，离休人员离休费，退休人员补助等，保障</w:t>
      </w:r>
      <w:r>
        <w:rPr>
          <w:rFonts w:hint="eastAsia" w:eastAsia="方正仿宋_GBK"/>
          <w:sz w:val="32"/>
          <w:highlight w:val="none"/>
          <w:lang w:eastAsia="zh-CN"/>
        </w:rPr>
        <w:t>单位</w:t>
      </w:r>
      <w:r>
        <w:rPr>
          <w:rFonts w:eastAsia="方正仿宋_GBK"/>
          <w:sz w:val="32"/>
          <w:highlight w:val="none"/>
        </w:rPr>
        <w:t>正常运转的各项商品服务支出；项目支出</w:t>
      </w:r>
      <w:r>
        <w:rPr>
          <w:rFonts w:hint="eastAsia" w:eastAsia="方正仿宋_GBK"/>
          <w:sz w:val="32"/>
          <w:highlight w:val="none"/>
          <w:lang w:val="en-US" w:eastAsia="zh-CN"/>
        </w:rPr>
        <w:t>0</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0</w:t>
      </w:r>
      <w:r>
        <w:rPr>
          <w:rFonts w:eastAsia="方正仿宋_GBK"/>
          <w:sz w:val="32"/>
          <w:highlight w:val="none"/>
        </w:rPr>
        <w:t>万元，主要原因是</w:t>
      </w:r>
      <w:r>
        <w:rPr>
          <w:rFonts w:hint="eastAsia" w:eastAsia="方正仿宋_GBK"/>
          <w:sz w:val="32"/>
          <w:highlight w:val="none"/>
          <w:lang w:val="en-US" w:eastAsia="zh-CN"/>
        </w:rPr>
        <w:t>重庆市开州区</w:t>
      </w:r>
      <w:r>
        <w:rPr>
          <w:rFonts w:hint="eastAsia" w:eastAsia="方正仿宋_GBK"/>
          <w:sz w:val="32"/>
          <w:szCs w:val="32"/>
          <w:highlight w:val="none"/>
          <w:lang w:val="en-US" w:eastAsia="zh-CN"/>
        </w:rPr>
        <w:t>丰乐街道综合行政执法大队无项目支出</w:t>
      </w:r>
      <w:r>
        <w:rPr>
          <w:rFonts w:eastAsia="方正仿宋_GBK"/>
          <w:sz w:val="32"/>
          <w:highlight w:val="none"/>
        </w:rPr>
        <w:t>。</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eastAsia="方正仿宋_GBK"/>
          <w:sz w:val="32"/>
          <w:highlight w:val="none"/>
          <w:lang w:eastAsia="zh-CN"/>
        </w:rPr>
      </w:pPr>
      <w:r>
        <w:rPr>
          <w:rFonts w:hint="eastAsia" w:eastAsia="方正仿宋_GBK"/>
          <w:sz w:val="32"/>
          <w:highlight w:val="none"/>
          <w:lang w:val="en-US" w:eastAsia="zh-CN"/>
        </w:rPr>
        <w:t>重庆市开州区</w:t>
      </w:r>
      <w:r>
        <w:rPr>
          <w:rFonts w:hint="eastAsia" w:eastAsia="方正仿宋_GBK"/>
          <w:sz w:val="32"/>
          <w:szCs w:val="32"/>
          <w:highlight w:val="none"/>
          <w:lang w:val="en-US" w:eastAsia="zh-CN"/>
        </w:rPr>
        <w:t>丰乐街道综合行政执法大队</w:t>
      </w:r>
      <w:r>
        <w:rPr>
          <w:rFonts w:hint="eastAsia" w:eastAsia="方正仿宋_GBK"/>
          <w:sz w:val="32"/>
          <w:highlight w:val="none"/>
          <w:lang w:val="en-US" w:eastAsia="zh-CN"/>
        </w:rPr>
        <w:t>2026</w:t>
      </w:r>
      <w:r>
        <w:rPr>
          <w:rFonts w:eastAsia="方正仿宋_GBK"/>
          <w:sz w:val="32"/>
          <w:highlight w:val="none"/>
        </w:rPr>
        <w:t>年无</w:t>
      </w:r>
      <w:r>
        <w:rPr>
          <w:rFonts w:hint="eastAsia" w:eastAsia="方正仿宋_GBK"/>
          <w:sz w:val="32"/>
          <w:highlight w:val="none"/>
          <w:lang w:val="en-US" w:eastAsia="zh-CN"/>
        </w:rPr>
        <w:t>使用</w:t>
      </w:r>
      <w:r>
        <w:rPr>
          <w:rFonts w:eastAsia="方正仿宋_GBK"/>
          <w:sz w:val="32"/>
          <w:highlight w:val="none"/>
        </w:rPr>
        <w:t>政府性基金预算拨款安排的支出</w:t>
      </w:r>
      <w:r>
        <w:rPr>
          <w:rFonts w:hint="eastAsia" w:eastAsia="方正仿宋_GBK"/>
          <w:sz w:val="32"/>
          <w:highlight w:val="none"/>
          <w:lang w:eastAsia="zh-CN"/>
        </w:rPr>
        <w:t>。</w:t>
      </w:r>
    </w:p>
    <w:p>
      <w:pPr>
        <w:keepNext w:val="0"/>
        <w:keepLines w:val="0"/>
        <w:pageBreakBefore w:val="0"/>
        <w:kinsoku/>
        <w:wordWrap/>
        <w:overflowPunct/>
        <w:topLinePunct w:val="0"/>
        <w:autoSpaceDE/>
        <w:autoSpaceDN/>
        <w:bidi w:val="0"/>
        <w:adjustRightInd/>
        <w:snapToGrid/>
        <w:spacing w:line="594" w:lineRule="exact"/>
        <w:ind w:left="640"/>
        <w:textAlignment w:val="auto"/>
        <w:rPr>
          <w:rFonts w:eastAsia="方正仿宋_GBK"/>
          <w:sz w:val="32"/>
          <w:highlight w:val="none"/>
        </w:rPr>
      </w:pPr>
      <w:r>
        <w:rPr>
          <w:rFonts w:eastAsia="方正黑体_GBK"/>
          <w:sz w:val="32"/>
          <w:highlight w:val="none"/>
        </w:rPr>
        <w:t>四、</w:t>
      </w:r>
      <w:r>
        <w:rPr>
          <w:rFonts w:hint="eastAsia" w:ascii="方正黑体_GBK" w:eastAsia="方正黑体_GBK"/>
          <w:sz w:val="32"/>
          <w:highlight w:val="none"/>
        </w:rPr>
        <w:t>“三公”经</w:t>
      </w:r>
      <w:r>
        <w:rPr>
          <w:rFonts w:eastAsia="方正黑体_GBK"/>
          <w:sz w:val="32"/>
          <w:highlight w:val="none"/>
        </w:rPr>
        <w:t>费情况说明</w:t>
      </w:r>
    </w:p>
    <w:p>
      <w:pPr>
        <w:keepNext w:val="0"/>
        <w:keepLines w:val="0"/>
        <w:pageBreakBefore w:val="0"/>
        <w:kinsoku/>
        <w:wordWrap/>
        <w:overflowPunct/>
        <w:topLinePunct w:val="0"/>
        <w:autoSpaceDE/>
        <w:autoSpaceDN/>
        <w:bidi w:val="0"/>
        <w:adjustRightInd/>
        <w:snapToGrid/>
        <w:spacing w:line="594" w:lineRule="exact"/>
        <w:ind w:firstLine="600"/>
        <w:textAlignment w:val="auto"/>
        <w:rPr>
          <w:rFonts w:eastAsia="方正仿宋_GBK"/>
          <w:sz w:val="32"/>
          <w:highlight w:val="none"/>
        </w:rPr>
      </w:pPr>
      <w:r>
        <w:rPr>
          <w:rFonts w:hint="eastAsia" w:eastAsia="方正仿宋_GBK"/>
          <w:sz w:val="32"/>
          <w:highlight w:val="none"/>
          <w:lang w:val="en-US" w:eastAsia="zh-CN"/>
        </w:rPr>
        <w:t>2026</w:t>
      </w:r>
      <w:r>
        <w:rPr>
          <w:rFonts w:eastAsia="方正仿宋_GBK"/>
          <w:sz w:val="32"/>
          <w:highlight w:val="none"/>
        </w:rPr>
        <w:t>年</w:t>
      </w:r>
      <w:r>
        <w:rPr>
          <w:rFonts w:hint="eastAsia" w:ascii="方正仿宋_GBK" w:eastAsia="方正仿宋_GBK"/>
          <w:sz w:val="32"/>
          <w:highlight w:val="none"/>
        </w:rPr>
        <w:t>“三公”经</w:t>
      </w:r>
      <w:r>
        <w:rPr>
          <w:rFonts w:eastAsia="方正仿宋_GBK"/>
          <w:sz w:val="32"/>
          <w:highlight w:val="none"/>
        </w:rPr>
        <w:t>费预算</w:t>
      </w:r>
      <w:r>
        <w:rPr>
          <w:rFonts w:hint="eastAsia" w:eastAsia="方正仿宋_GBK"/>
          <w:sz w:val="32"/>
          <w:highlight w:val="none"/>
          <w:lang w:val="en-US" w:eastAsia="zh-CN"/>
        </w:rPr>
        <w:t>0</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0</w:t>
      </w:r>
      <w:r>
        <w:rPr>
          <w:rFonts w:eastAsia="方正仿宋_GBK"/>
          <w:sz w:val="32"/>
          <w:highlight w:val="none"/>
        </w:rPr>
        <w:t>万元。其中：因公出国（境）费用</w:t>
      </w:r>
      <w:r>
        <w:rPr>
          <w:rFonts w:hint="eastAsia" w:eastAsia="方正仿宋_GBK"/>
          <w:sz w:val="32"/>
          <w:highlight w:val="none"/>
          <w:lang w:val="en-US" w:eastAsia="zh-CN"/>
        </w:rPr>
        <w:t>0</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0</w:t>
      </w:r>
      <w:r>
        <w:rPr>
          <w:rFonts w:eastAsia="方正仿宋_GBK"/>
          <w:sz w:val="32"/>
          <w:highlight w:val="none"/>
        </w:rPr>
        <w:t>万元，主要原因是</w:t>
      </w:r>
      <w:r>
        <w:rPr>
          <w:rFonts w:hint="eastAsia" w:eastAsia="方正仿宋_GBK"/>
          <w:sz w:val="32"/>
          <w:highlight w:val="none"/>
          <w:lang w:val="en-US" w:eastAsia="zh-CN"/>
        </w:rPr>
        <w:t>无因公出国事宜</w:t>
      </w:r>
      <w:r>
        <w:rPr>
          <w:rFonts w:eastAsia="方正仿宋_GBK"/>
          <w:sz w:val="32"/>
          <w:highlight w:val="none"/>
        </w:rPr>
        <w:t>；公务接待费</w:t>
      </w:r>
      <w:r>
        <w:rPr>
          <w:rFonts w:hint="eastAsia" w:eastAsia="方正仿宋_GBK"/>
          <w:sz w:val="32"/>
          <w:highlight w:val="none"/>
          <w:lang w:val="en-US" w:eastAsia="zh-CN"/>
        </w:rPr>
        <w:t>0</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0</w:t>
      </w:r>
      <w:r>
        <w:rPr>
          <w:rFonts w:eastAsia="方正仿宋_GBK"/>
          <w:sz w:val="32"/>
          <w:highlight w:val="none"/>
        </w:rPr>
        <w:t>万元，主要原因是</w:t>
      </w:r>
      <w:r>
        <w:rPr>
          <w:rFonts w:hint="eastAsia" w:eastAsia="方正仿宋_GBK"/>
          <w:sz w:val="32"/>
          <w:highlight w:val="none"/>
          <w:lang w:val="en-US" w:eastAsia="zh-CN"/>
        </w:rPr>
        <w:t>无公务接待费预算支出</w:t>
      </w:r>
      <w:r>
        <w:rPr>
          <w:rFonts w:eastAsia="方正仿宋_GBK"/>
          <w:sz w:val="32"/>
          <w:highlight w:val="none"/>
        </w:rPr>
        <w:t>；公务用车运行维护费</w:t>
      </w:r>
      <w:r>
        <w:rPr>
          <w:rFonts w:hint="eastAsia" w:eastAsia="方正仿宋_GBK"/>
          <w:sz w:val="32"/>
          <w:highlight w:val="none"/>
          <w:lang w:val="en-US" w:eastAsia="zh-CN"/>
        </w:rPr>
        <w:t>0</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0</w:t>
      </w:r>
      <w:r>
        <w:rPr>
          <w:rFonts w:eastAsia="方正仿宋_GBK"/>
          <w:sz w:val="32"/>
          <w:highlight w:val="none"/>
        </w:rPr>
        <w:t>万元，主要原因是</w:t>
      </w:r>
      <w:r>
        <w:rPr>
          <w:rFonts w:hint="eastAsia" w:eastAsia="方正仿宋_GBK"/>
          <w:sz w:val="32"/>
          <w:highlight w:val="none"/>
          <w:lang w:val="en-US" w:eastAsia="zh-CN"/>
        </w:rPr>
        <w:t>无公务用车运行维护费预算支出</w:t>
      </w:r>
      <w:r>
        <w:rPr>
          <w:rFonts w:eastAsia="方正仿宋_GBK"/>
          <w:sz w:val="32"/>
          <w:highlight w:val="none"/>
        </w:rPr>
        <w:t>；公务用车购置费</w:t>
      </w:r>
      <w:r>
        <w:rPr>
          <w:rFonts w:hint="eastAsia" w:eastAsia="方正仿宋_GBK"/>
          <w:sz w:val="32"/>
          <w:highlight w:val="none"/>
          <w:lang w:val="en-US" w:eastAsia="zh-CN"/>
        </w:rPr>
        <w:t>0</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0</w:t>
      </w:r>
      <w:r>
        <w:rPr>
          <w:rFonts w:eastAsia="方正仿宋_GBK"/>
          <w:sz w:val="32"/>
          <w:highlight w:val="none"/>
        </w:rPr>
        <w:t>万元</w:t>
      </w:r>
      <w:r>
        <w:rPr>
          <w:rFonts w:hint="eastAsia" w:eastAsia="方正仿宋_GBK"/>
          <w:sz w:val="32"/>
          <w:highlight w:val="none"/>
          <w:lang w:eastAsia="zh-CN"/>
        </w:rPr>
        <w:t>，</w:t>
      </w:r>
      <w:r>
        <w:rPr>
          <w:rFonts w:eastAsia="方正仿宋_GBK"/>
          <w:sz w:val="32"/>
          <w:highlight w:val="none"/>
        </w:rPr>
        <w:t>主要原因是</w:t>
      </w:r>
      <w:r>
        <w:rPr>
          <w:rFonts w:hint="eastAsia" w:eastAsia="方正仿宋_GBK"/>
          <w:sz w:val="32"/>
          <w:highlight w:val="none"/>
          <w:lang w:val="en-US" w:eastAsia="zh-CN"/>
        </w:rPr>
        <w:t>无购置需求</w:t>
      </w:r>
      <w:r>
        <w:rPr>
          <w:rFonts w:eastAsia="方正仿宋_GBK"/>
          <w:sz w:val="32"/>
          <w:highlight w:val="none"/>
        </w:rPr>
        <w:t>。</w:t>
      </w:r>
    </w:p>
    <w:p>
      <w:pPr>
        <w:keepNext w:val="0"/>
        <w:keepLines w:val="0"/>
        <w:pageBreakBefore w:val="0"/>
        <w:kinsoku/>
        <w:wordWrap/>
        <w:overflowPunct/>
        <w:topLinePunct w:val="0"/>
        <w:autoSpaceDE/>
        <w:autoSpaceDN/>
        <w:bidi w:val="0"/>
        <w:adjustRightInd/>
        <w:snapToGrid/>
        <w:spacing w:line="594" w:lineRule="exact"/>
        <w:ind w:left="640"/>
        <w:textAlignment w:val="auto"/>
        <w:rPr>
          <w:rFonts w:eastAsia="方正黑体_GBK"/>
          <w:sz w:val="32"/>
          <w:highlight w:val="none"/>
        </w:rPr>
      </w:pPr>
      <w:r>
        <w:rPr>
          <w:rFonts w:eastAsia="方正黑体_GBK"/>
          <w:sz w:val="32"/>
          <w:highlight w:val="none"/>
        </w:rPr>
        <w:t>五、其他重要事项的情况说明</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b w:val="0"/>
          <w:bCs w:val="0"/>
          <w:sz w:val="32"/>
          <w:highlight w:val="none"/>
        </w:rPr>
      </w:pPr>
      <w:r>
        <w:rPr>
          <w:rFonts w:hint="eastAsia" w:ascii="方正楷体_GBK" w:hAnsi="方正楷体_GBK" w:eastAsia="方正楷体_GBK" w:cs="方正楷体_GBK"/>
          <w:b w:val="0"/>
          <w:bCs w:val="0"/>
          <w:sz w:val="32"/>
          <w:szCs w:val="32"/>
          <w:highlight w:val="none"/>
        </w:rPr>
        <w:t>（一）</w:t>
      </w:r>
      <w:r>
        <w:rPr>
          <w:rFonts w:hint="eastAsia" w:ascii="方正楷体_GBK" w:hAnsi="方正楷体_GBK" w:eastAsia="方正楷体_GBK" w:cs="方正楷体_GBK"/>
          <w:b w:val="0"/>
          <w:bCs w:val="0"/>
          <w:sz w:val="32"/>
          <w:highlight w:val="none"/>
        </w:rPr>
        <w:t>机关运行经费。</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eastAsia="方正仿宋_GBK"/>
          <w:sz w:val="32"/>
          <w:highlight w:val="none"/>
        </w:rPr>
      </w:pPr>
      <w:r>
        <w:rPr>
          <w:rFonts w:eastAsia="方正仿宋_GBK"/>
          <w:sz w:val="32"/>
          <w:highlight w:val="none"/>
        </w:rPr>
        <w:t>我单位不在机关运行经费统计范围之内。</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eastAsia="方正仿宋_GBK"/>
          <w:sz w:val="32"/>
          <w:highlight w:val="none"/>
        </w:rPr>
      </w:pPr>
      <w:r>
        <w:rPr>
          <w:rFonts w:hint="eastAsia" w:ascii="方正楷体_GBK" w:hAnsi="方正楷体_GBK" w:eastAsia="方正楷体_GBK" w:cs="方正楷体_GBK"/>
          <w:b w:val="0"/>
          <w:bCs w:val="0"/>
          <w:sz w:val="32"/>
          <w:szCs w:val="32"/>
          <w:highlight w:val="none"/>
        </w:rPr>
        <w:t>（二）政府采购情况。</w:t>
      </w:r>
      <w:r>
        <w:rPr>
          <w:rFonts w:eastAsia="方正仿宋_GBK"/>
          <w:sz w:val="32"/>
          <w:highlight w:val="none"/>
        </w:rPr>
        <w:t>所属各预算单位政府采购预算总额</w:t>
      </w:r>
      <w:r>
        <w:rPr>
          <w:rFonts w:hint="eastAsia" w:eastAsia="方正仿宋_GBK"/>
          <w:sz w:val="32"/>
          <w:highlight w:val="none"/>
          <w:lang w:val="en-US" w:eastAsia="zh-CN"/>
        </w:rPr>
        <w:t>0</w:t>
      </w:r>
      <w:r>
        <w:rPr>
          <w:rFonts w:eastAsia="方正仿宋_GBK"/>
          <w:sz w:val="32"/>
          <w:highlight w:val="none"/>
        </w:rPr>
        <w:t>万元：政府采购货物预算</w:t>
      </w:r>
      <w:r>
        <w:rPr>
          <w:rFonts w:hint="eastAsia" w:eastAsia="方正仿宋_GBK"/>
          <w:sz w:val="32"/>
          <w:highlight w:val="none"/>
          <w:lang w:val="en-US" w:eastAsia="zh-CN"/>
        </w:rPr>
        <w:t>0</w:t>
      </w:r>
      <w:r>
        <w:rPr>
          <w:rFonts w:eastAsia="方正仿宋_GBK"/>
          <w:sz w:val="32"/>
          <w:highlight w:val="none"/>
        </w:rPr>
        <w:t>万元、政府采购工程预算</w:t>
      </w:r>
      <w:r>
        <w:rPr>
          <w:rFonts w:hint="eastAsia" w:eastAsia="方正仿宋_GBK"/>
          <w:sz w:val="32"/>
          <w:highlight w:val="none"/>
          <w:lang w:val="en-US" w:eastAsia="zh-CN"/>
        </w:rPr>
        <w:t>0</w:t>
      </w:r>
      <w:r>
        <w:rPr>
          <w:rFonts w:eastAsia="方正仿宋_GBK"/>
          <w:sz w:val="32"/>
          <w:highlight w:val="none"/>
        </w:rPr>
        <w:t>万元、政府采购服务预算</w:t>
      </w:r>
      <w:r>
        <w:rPr>
          <w:rFonts w:hint="eastAsia" w:eastAsia="方正仿宋_GBK"/>
          <w:sz w:val="32"/>
          <w:highlight w:val="none"/>
          <w:lang w:val="en-US" w:eastAsia="zh-CN"/>
        </w:rPr>
        <w:t>0</w:t>
      </w:r>
      <w:r>
        <w:rPr>
          <w:rFonts w:eastAsia="方正仿宋_GBK"/>
          <w:sz w:val="32"/>
          <w:highlight w:val="none"/>
        </w:rPr>
        <w:t>万元；其中一般公共预算拨款政府采购</w:t>
      </w:r>
      <w:r>
        <w:rPr>
          <w:rFonts w:hint="eastAsia" w:eastAsia="方正仿宋_GBK"/>
          <w:sz w:val="32"/>
          <w:highlight w:val="none"/>
          <w:lang w:val="en-US" w:eastAsia="zh-CN"/>
        </w:rPr>
        <w:t>0</w:t>
      </w:r>
      <w:r>
        <w:rPr>
          <w:rFonts w:eastAsia="方正仿宋_GBK"/>
          <w:sz w:val="32"/>
          <w:highlight w:val="none"/>
        </w:rPr>
        <w:t>万元：政府采购货物预算</w:t>
      </w:r>
      <w:r>
        <w:rPr>
          <w:rFonts w:hint="eastAsia" w:eastAsia="方正仿宋_GBK"/>
          <w:sz w:val="32"/>
          <w:highlight w:val="none"/>
          <w:lang w:val="en-US" w:eastAsia="zh-CN"/>
        </w:rPr>
        <w:t>0</w:t>
      </w:r>
      <w:r>
        <w:rPr>
          <w:rFonts w:eastAsia="方正仿宋_GBK"/>
          <w:sz w:val="32"/>
          <w:highlight w:val="none"/>
        </w:rPr>
        <w:t>万元、政府采购工程预算</w:t>
      </w:r>
      <w:r>
        <w:rPr>
          <w:rFonts w:hint="eastAsia" w:eastAsia="方正仿宋_GBK"/>
          <w:sz w:val="32"/>
          <w:highlight w:val="none"/>
          <w:lang w:val="en-US" w:eastAsia="zh-CN"/>
        </w:rPr>
        <w:t>0</w:t>
      </w:r>
      <w:r>
        <w:rPr>
          <w:rFonts w:eastAsia="方正仿宋_GBK"/>
          <w:sz w:val="32"/>
          <w:highlight w:val="none"/>
        </w:rPr>
        <w:t>万元、政府采购服务预算</w:t>
      </w:r>
      <w:r>
        <w:rPr>
          <w:rFonts w:hint="eastAsia" w:eastAsia="方正仿宋_GBK"/>
          <w:sz w:val="32"/>
          <w:highlight w:val="none"/>
          <w:lang w:val="en-US" w:eastAsia="zh-CN"/>
        </w:rPr>
        <w:t>0</w:t>
      </w:r>
      <w:r>
        <w:rPr>
          <w:rFonts w:eastAsia="方正仿宋_GBK"/>
          <w:sz w:val="32"/>
          <w:highlight w:val="none"/>
        </w:rPr>
        <w:t>万元。</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eastAsia="方正仿宋_GBK"/>
          <w:color w:val="000000"/>
          <w:sz w:val="32"/>
          <w:highlight w:val="none"/>
        </w:rPr>
      </w:pPr>
      <w:r>
        <w:rPr>
          <w:rFonts w:hint="eastAsia" w:ascii="方正楷体_GBK" w:hAnsi="方正楷体_GBK" w:eastAsia="方正楷体_GBK" w:cs="方正楷体_GBK"/>
          <w:b w:val="0"/>
          <w:bCs w:val="0"/>
          <w:sz w:val="32"/>
          <w:szCs w:val="32"/>
          <w:highlight w:val="none"/>
        </w:rPr>
        <w:t>（三）绩效目标设置情况。</w:t>
      </w:r>
      <w:r>
        <w:rPr>
          <w:rFonts w:hint="eastAsia" w:eastAsia="方正仿宋_GBK"/>
          <w:color w:val="000000"/>
          <w:sz w:val="32"/>
          <w:highlight w:val="none"/>
          <w:lang w:val="en-US" w:eastAsia="zh-CN"/>
        </w:rPr>
        <w:t>2026</w:t>
      </w:r>
      <w:r>
        <w:rPr>
          <w:rFonts w:eastAsia="方正仿宋_GBK"/>
          <w:color w:val="000000"/>
          <w:sz w:val="32"/>
          <w:highlight w:val="none"/>
        </w:rPr>
        <w:t>年项目支出均实行了绩效目标管理，涉及一般公共预算当年财政拨款</w:t>
      </w:r>
      <w:r>
        <w:rPr>
          <w:rFonts w:hint="eastAsia" w:eastAsia="方正仿宋_GBK"/>
          <w:color w:val="000000"/>
          <w:sz w:val="32"/>
          <w:highlight w:val="none"/>
          <w:lang w:val="en-US" w:eastAsia="zh-CN"/>
        </w:rPr>
        <w:t>0</w:t>
      </w:r>
      <w:r>
        <w:rPr>
          <w:rFonts w:eastAsia="方正仿宋_GBK"/>
          <w:color w:val="000000"/>
          <w:sz w:val="32"/>
          <w:highlight w:val="none"/>
        </w:rPr>
        <w:t>万元。</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eastAsia="方正仿宋_GBK"/>
          <w:color w:val="000000"/>
          <w:sz w:val="32"/>
          <w:highlight w:val="none"/>
        </w:rPr>
      </w:pPr>
      <w:r>
        <w:rPr>
          <w:rFonts w:hint="eastAsia" w:ascii="方正楷体_GBK" w:hAnsi="方正楷体_GBK" w:eastAsia="方正楷体_GBK" w:cs="方正楷体_GBK"/>
          <w:b w:val="0"/>
          <w:bCs w:val="0"/>
          <w:sz w:val="32"/>
          <w:szCs w:val="32"/>
          <w:highlight w:val="none"/>
        </w:rPr>
        <w:t>（四）国有资产占有使用情况。</w:t>
      </w:r>
      <w:r>
        <w:rPr>
          <w:rFonts w:eastAsia="方正仿宋_GBK"/>
          <w:color w:val="000000"/>
          <w:sz w:val="32"/>
          <w:highlight w:val="none"/>
        </w:rPr>
        <w:t>截</w:t>
      </w:r>
      <w:r>
        <w:rPr>
          <w:rFonts w:hint="eastAsia" w:eastAsia="方正仿宋_GBK"/>
          <w:color w:val="000000"/>
          <w:sz w:val="32"/>
          <w:highlight w:val="none"/>
          <w:lang w:eastAsia="zh-CN"/>
        </w:rPr>
        <w:t>至</w:t>
      </w:r>
      <w:r>
        <w:rPr>
          <w:rFonts w:hint="eastAsia" w:eastAsia="方正仿宋_GBK"/>
          <w:color w:val="000000"/>
          <w:sz w:val="32"/>
          <w:highlight w:val="none"/>
          <w:lang w:val="en-US" w:eastAsia="zh-CN"/>
        </w:rPr>
        <w:t>2025</w:t>
      </w:r>
      <w:r>
        <w:rPr>
          <w:rFonts w:eastAsia="方正仿宋_GBK"/>
          <w:color w:val="000000"/>
          <w:sz w:val="32"/>
          <w:highlight w:val="none"/>
        </w:rPr>
        <w:t>年12月，所属各预算单位共有车辆</w:t>
      </w:r>
      <w:r>
        <w:rPr>
          <w:rFonts w:hint="eastAsia" w:eastAsia="方正仿宋_GBK"/>
          <w:color w:val="000000"/>
          <w:sz w:val="32"/>
          <w:highlight w:val="none"/>
          <w:lang w:val="en-US" w:eastAsia="zh-CN"/>
        </w:rPr>
        <w:t>0</w:t>
      </w:r>
      <w:r>
        <w:rPr>
          <w:rFonts w:eastAsia="方正仿宋_GBK"/>
          <w:color w:val="000000"/>
          <w:sz w:val="32"/>
          <w:highlight w:val="none"/>
        </w:rPr>
        <w:t>辆，其中一般公务用车</w:t>
      </w:r>
      <w:r>
        <w:rPr>
          <w:rFonts w:hint="eastAsia" w:eastAsia="方正仿宋_GBK"/>
          <w:color w:val="000000"/>
          <w:sz w:val="32"/>
          <w:highlight w:val="none"/>
          <w:lang w:val="en-US" w:eastAsia="zh-CN"/>
        </w:rPr>
        <w:t>0</w:t>
      </w:r>
      <w:r>
        <w:rPr>
          <w:rFonts w:eastAsia="方正仿宋_GBK"/>
          <w:color w:val="000000"/>
          <w:sz w:val="32"/>
          <w:highlight w:val="none"/>
        </w:rPr>
        <w:t>辆、执勤执法用车</w:t>
      </w:r>
      <w:r>
        <w:rPr>
          <w:rFonts w:hint="eastAsia" w:eastAsia="方正仿宋_GBK"/>
          <w:color w:val="000000"/>
          <w:sz w:val="32"/>
          <w:highlight w:val="none"/>
          <w:lang w:val="en-US" w:eastAsia="zh-CN"/>
        </w:rPr>
        <w:t>0</w:t>
      </w:r>
      <w:r>
        <w:rPr>
          <w:rFonts w:eastAsia="方正仿宋_GBK"/>
          <w:color w:val="000000"/>
          <w:sz w:val="32"/>
          <w:highlight w:val="none"/>
        </w:rPr>
        <w:t>辆。</w:t>
      </w:r>
      <w:r>
        <w:rPr>
          <w:rFonts w:hint="eastAsia" w:eastAsia="方正仿宋_GBK"/>
          <w:color w:val="000000"/>
          <w:sz w:val="32"/>
          <w:highlight w:val="none"/>
          <w:lang w:val="en-US" w:eastAsia="zh-CN"/>
        </w:rPr>
        <w:t>2026</w:t>
      </w:r>
      <w:r>
        <w:rPr>
          <w:rFonts w:eastAsia="方正仿宋_GBK"/>
          <w:color w:val="000000"/>
          <w:sz w:val="32"/>
          <w:highlight w:val="none"/>
        </w:rPr>
        <w:t>年一般公共预算安排购置车辆</w:t>
      </w:r>
      <w:r>
        <w:rPr>
          <w:rFonts w:hint="eastAsia" w:eastAsia="方正仿宋_GBK"/>
          <w:color w:val="000000"/>
          <w:sz w:val="32"/>
          <w:highlight w:val="none"/>
          <w:lang w:val="en-US" w:eastAsia="zh-CN"/>
        </w:rPr>
        <w:t>0</w:t>
      </w:r>
      <w:r>
        <w:rPr>
          <w:rFonts w:eastAsia="方正仿宋_GBK"/>
          <w:color w:val="000000"/>
          <w:sz w:val="32"/>
          <w:highlight w:val="none"/>
        </w:rPr>
        <w:t>辆，其中一般公务用车</w:t>
      </w:r>
      <w:r>
        <w:rPr>
          <w:rFonts w:hint="eastAsia" w:eastAsia="方正仿宋_GBK"/>
          <w:color w:val="000000"/>
          <w:sz w:val="32"/>
          <w:highlight w:val="none"/>
          <w:lang w:val="en-US" w:eastAsia="zh-CN"/>
        </w:rPr>
        <w:t>0</w:t>
      </w:r>
      <w:r>
        <w:rPr>
          <w:rFonts w:eastAsia="方正仿宋_GBK"/>
          <w:color w:val="000000"/>
          <w:sz w:val="32"/>
          <w:highlight w:val="none"/>
        </w:rPr>
        <w:t>辆、执勤执法用车</w:t>
      </w:r>
      <w:r>
        <w:rPr>
          <w:rFonts w:hint="eastAsia" w:eastAsia="方正仿宋_GBK"/>
          <w:color w:val="000000"/>
          <w:sz w:val="32"/>
          <w:highlight w:val="none"/>
          <w:lang w:val="en-US" w:eastAsia="zh-CN"/>
        </w:rPr>
        <w:t>0</w:t>
      </w:r>
      <w:r>
        <w:rPr>
          <w:rFonts w:eastAsia="方正仿宋_GBK"/>
          <w:color w:val="000000"/>
          <w:sz w:val="32"/>
          <w:highlight w:val="none"/>
        </w:rPr>
        <w:t>辆。</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eastAsia="方正黑体_GBK"/>
          <w:sz w:val="32"/>
          <w:highlight w:val="none"/>
        </w:rPr>
      </w:pPr>
      <w:r>
        <w:rPr>
          <w:rFonts w:eastAsia="方正黑体_GBK"/>
          <w:sz w:val="32"/>
          <w:highlight w:val="none"/>
        </w:rPr>
        <w:t>六、专业性名词解释</w:t>
      </w:r>
    </w:p>
    <w:p>
      <w:pPr>
        <w:pStyle w:val="8"/>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sz w:val="32"/>
          <w:szCs w:val="32"/>
          <w:highlight w:val="none"/>
        </w:rPr>
      </w:pPr>
      <w:r>
        <w:rPr>
          <w:rFonts w:hint="eastAsia" w:ascii="方正楷体_GBK" w:hAnsi="Times New Roman" w:eastAsia="方正楷体_GBK"/>
          <w:sz w:val="32"/>
          <w:szCs w:val="32"/>
          <w:highlight w:val="none"/>
        </w:rPr>
        <w:t>（一）财政拨款收入：</w:t>
      </w:r>
      <w:r>
        <w:rPr>
          <w:rFonts w:ascii="Times New Roman" w:hAnsi="Times New Roman" w:eastAsia="方正仿宋_GBK"/>
          <w:sz w:val="32"/>
          <w:szCs w:val="32"/>
          <w:highlight w:val="none"/>
        </w:rPr>
        <w:t>指本年度从本级财政</w:t>
      </w:r>
      <w:r>
        <w:rPr>
          <w:rFonts w:hint="eastAsia" w:ascii="Times New Roman" w:hAnsi="Times New Roman" w:eastAsia="方正仿宋_GBK"/>
          <w:sz w:val="32"/>
          <w:szCs w:val="32"/>
          <w:highlight w:val="none"/>
          <w:lang w:eastAsia="zh-CN"/>
        </w:rPr>
        <w:t>单位</w:t>
      </w:r>
      <w:r>
        <w:rPr>
          <w:rFonts w:ascii="Times New Roman" w:hAnsi="Times New Roman" w:eastAsia="方正仿宋_GBK"/>
          <w:sz w:val="32"/>
          <w:szCs w:val="32"/>
          <w:highlight w:val="none"/>
        </w:rPr>
        <w:t>取得的财政拨款，包括一般公共预算财政拨款和政府性基金预算财政拨款。</w:t>
      </w:r>
    </w:p>
    <w:p>
      <w:pPr>
        <w:pStyle w:val="8"/>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hint="eastAsia" w:ascii="方正仿宋_GBK" w:hAnsi="Times New Roman" w:eastAsia="方正仿宋_GBK"/>
          <w:sz w:val="32"/>
          <w:szCs w:val="32"/>
          <w:highlight w:val="none"/>
        </w:rPr>
      </w:pPr>
      <w:r>
        <w:rPr>
          <w:rFonts w:hint="eastAsia" w:ascii="方正楷体_GBK" w:hAnsi="Times New Roman" w:eastAsia="方正楷体_GBK"/>
          <w:sz w:val="32"/>
          <w:szCs w:val="32"/>
          <w:highlight w:val="none"/>
        </w:rPr>
        <w:t>（二）其他收入：</w:t>
      </w:r>
      <w:r>
        <w:rPr>
          <w:rFonts w:ascii="Times New Roman" w:hAnsi="Times New Roman" w:eastAsia="方正仿宋_GBK"/>
          <w:sz w:val="32"/>
          <w:szCs w:val="32"/>
          <w:highlight w:val="none"/>
        </w:rPr>
        <w:t>指单位取</w:t>
      </w:r>
      <w:r>
        <w:rPr>
          <w:rFonts w:hint="eastAsia" w:ascii="方正仿宋_GBK" w:hAnsi="Times New Roman" w:eastAsia="方正仿宋_GBK"/>
          <w:sz w:val="32"/>
          <w:szCs w:val="32"/>
          <w:highlight w:val="none"/>
        </w:rPr>
        <w:t>得的除“财政拨款收入”、“事业收入”、“经营收入”等以外的收入。</w:t>
      </w:r>
    </w:p>
    <w:p>
      <w:pPr>
        <w:pStyle w:val="8"/>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sz w:val="32"/>
          <w:szCs w:val="32"/>
          <w:highlight w:val="none"/>
        </w:rPr>
      </w:pPr>
      <w:r>
        <w:rPr>
          <w:rFonts w:hint="eastAsia" w:ascii="方正楷体_GBK" w:hAnsi="Times New Roman" w:eastAsia="方正楷体_GBK"/>
          <w:sz w:val="32"/>
          <w:szCs w:val="32"/>
          <w:highlight w:val="none"/>
        </w:rPr>
        <w:t>（三）基本支出：</w:t>
      </w:r>
      <w:r>
        <w:rPr>
          <w:rFonts w:ascii="Times New Roman" w:hAnsi="Times New Roman" w:eastAsia="方正仿宋_GBK"/>
          <w:sz w:val="32"/>
          <w:szCs w:val="32"/>
          <w:highlight w:val="none"/>
        </w:rPr>
        <w:t>指为保障机构正常运转、完成日常工作任务而发生的人员经费和公用经费。</w:t>
      </w:r>
    </w:p>
    <w:p>
      <w:pPr>
        <w:pStyle w:val="8"/>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sz w:val="32"/>
          <w:szCs w:val="32"/>
          <w:highlight w:val="none"/>
        </w:rPr>
      </w:pPr>
      <w:r>
        <w:rPr>
          <w:rFonts w:hint="eastAsia" w:ascii="方正楷体_GBK" w:hAnsi="Times New Roman" w:eastAsia="方正楷体_GBK"/>
          <w:sz w:val="32"/>
          <w:szCs w:val="32"/>
          <w:highlight w:val="none"/>
        </w:rPr>
        <w:t>（四）项目支出：</w:t>
      </w:r>
      <w:r>
        <w:rPr>
          <w:rFonts w:ascii="Times New Roman" w:hAnsi="Times New Roman" w:eastAsia="方正仿宋_GBK"/>
          <w:sz w:val="32"/>
          <w:szCs w:val="32"/>
          <w:highlight w:val="none"/>
        </w:rPr>
        <w:t>指在基本支出之外为完成特定行政任务和事业发展目标所发生的支出。</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eastAsia="方正仿宋_GBK"/>
          <w:sz w:val="32"/>
          <w:szCs w:val="32"/>
          <w:highlight w:val="none"/>
        </w:rPr>
      </w:pPr>
      <w:r>
        <w:rPr>
          <w:rFonts w:hint="eastAsia" w:ascii="方正楷体_GBK" w:eastAsia="方正楷体_GBK"/>
          <w:sz w:val="32"/>
          <w:szCs w:val="32"/>
          <w:highlight w:val="none"/>
        </w:rPr>
        <w:t>（五）“三公”经费：</w:t>
      </w:r>
      <w:r>
        <w:rPr>
          <w:rFonts w:hint="eastAsia" w:ascii="方正仿宋_GBK" w:eastAsia="方正仿宋_GBK"/>
          <w:sz w:val="32"/>
          <w:szCs w:val="32"/>
          <w:highlight w:val="none"/>
        </w:rPr>
        <w:t>指用一</w:t>
      </w:r>
      <w:r>
        <w:rPr>
          <w:rFonts w:eastAsia="方正仿宋_GBK"/>
          <w:sz w:val="32"/>
          <w:szCs w:val="32"/>
          <w:highlight w:val="none"/>
        </w:rPr>
        <w:t>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594" w:lineRule="exact"/>
        <w:textAlignment w:val="auto"/>
        <w:rPr>
          <w:rFonts w:eastAsia="方正小标宋_GBK"/>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firstLine="880" w:firstLineChars="200"/>
        <w:jc w:val="center"/>
        <w:textAlignment w:val="auto"/>
        <w:rPr>
          <w:rFonts w:hint="eastAsia" w:eastAsia="方正小标宋_GBK"/>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firstLine="880" w:firstLineChars="200"/>
        <w:jc w:val="center"/>
        <w:textAlignment w:val="auto"/>
        <w:rPr>
          <w:rFonts w:hint="eastAsia" w:eastAsia="方正小标宋_GBK"/>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firstLine="880" w:firstLineChars="200"/>
        <w:jc w:val="center"/>
        <w:textAlignment w:val="auto"/>
        <w:rPr>
          <w:rFonts w:hint="eastAsia" w:eastAsia="方正小标宋_GBK"/>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firstLine="880" w:firstLineChars="200"/>
        <w:jc w:val="center"/>
        <w:textAlignment w:val="auto"/>
        <w:rPr>
          <w:rFonts w:hint="eastAsia" w:eastAsia="方正小标宋_GBK"/>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firstLine="880" w:firstLineChars="200"/>
        <w:jc w:val="center"/>
        <w:textAlignment w:val="auto"/>
        <w:rPr>
          <w:rFonts w:hint="eastAsia" w:eastAsia="方正小标宋_GBK"/>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firstLine="880" w:firstLineChars="200"/>
        <w:jc w:val="center"/>
        <w:textAlignment w:val="auto"/>
        <w:rPr>
          <w:rFonts w:hint="eastAsia" w:eastAsia="方正小标宋_GBK"/>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firstLine="880" w:firstLineChars="200"/>
        <w:jc w:val="center"/>
        <w:textAlignment w:val="auto"/>
        <w:rPr>
          <w:rFonts w:hint="eastAsia" w:eastAsia="方正小标宋_GBK"/>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firstLine="880" w:firstLineChars="200"/>
        <w:jc w:val="center"/>
        <w:textAlignment w:val="auto"/>
        <w:rPr>
          <w:rFonts w:hint="eastAsia" w:eastAsia="方正小标宋_GBK"/>
          <w:sz w:val="44"/>
          <w:szCs w:val="44"/>
          <w:highlight w:val="none"/>
        </w:rPr>
      </w:pPr>
      <w:r>
        <w:rPr>
          <w:rFonts w:hint="eastAsia" w:eastAsia="方正小标宋_GBK"/>
          <w:sz w:val="44"/>
          <w:szCs w:val="44"/>
          <w:highlight w:val="none"/>
        </w:rPr>
        <w:t>第二部分：</w:t>
      </w:r>
      <w:r>
        <w:rPr>
          <w:rFonts w:hint="eastAsia" w:eastAsia="方正小标宋_GBK"/>
          <w:sz w:val="44"/>
          <w:szCs w:val="44"/>
          <w:highlight w:val="none"/>
          <w:lang w:val="en-US" w:eastAsia="zh-CN"/>
        </w:rPr>
        <w:t>2026</w:t>
      </w:r>
      <w:r>
        <w:rPr>
          <w:rFonts w:hint="eastAsia" w:eastAsia="方正小标宋_GBK"/>
          <w:sz w:val="44"/>
          <w:szCs w:val="44"/>
          <w:highlight w:val="none"/>
        </w:rPr>
        <w:t>年</w:t>
      </w:r>
      <w:r>
        <w:rPr>
          <w:rFonts w:hint="eastAsia" w:eastAsia="方正小标宋_GBK"/>
          <w:sz w:val="44"/>
          <w:szCs w:val="44"/>
          <w:highlight w:val="none"/>
          <w:lang w:eastAsia="zh-CN"/>
        </w:rPr>
        <w:t>单位</w:t>
      </w:r>
      <w:r>
        <w:rPr>
          <w:rFonts w:hint="eastAsia" w:eastAsia="方正小标宋_GBK"/>
          <w:sz w:val="44"/>
          <w:szCs w:val="44"/>
          <w:highlight w:val="none"/>
        </w:rPr>
        <w:t>预算公开报表</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eastAsia="方正黑体_GBK"/>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eastAsia="方正黑体_GBK"/>
          <w:sz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预算公开报表（详见附表</w:t>
      </w:r>
      <w:r>
        <w:rPr>
          <w:rFonts w:hint="eastAsia" w:ascii="Times New Roman" w:hAnsi="Times New Roman" w:eastAsia="方正仿宋_GBK" w:cs="Times New Roman"/>
          <w:sz w:val="32"/>
          <w:szCs w:val="32"/>
          <w:highlight w:val="none"/>
          <w:lang w:val="en-US" w:eastAsia="zh-CN"/>
        </w:rPr>
        <w:t>重庆市开州区</w:t>
      </w:r>
      <w:r>
        <w:rPr>
          <w:rFonts w:hint="eastAsia" w:eastAsia="方正仿宋_GBK" w:cs="Times New Roman"/>
          <w:sz w:val="32"/>
          <w:szCs w:val="32"/>
          <w:highlight w:val="none"/>
          <w:lang w:val="en-US" w:eastAsia="zh-CN"/>
        </w:rPr>
        <w:t>丰乐</w:t>
      </w:r>
      <w:r>
        <w:rPr>
          <w:rFonts w:hint="eastAsia" w:ascii="Times New Roman" w:hAnsi="Times New Roman" w:eastAsia="方正仿宋_GBK" w:cs="Times New Roman"/>
          <w:sz w:val="32"/>
          <w:szCs w:val="32"/>
          <w:highlight w:val="none"/>
          <w:lang w:val="en-US" w:eastAsia="zh-CN"/>
        </w:rPr>
        <w:t>街道</w:t>
      </w:r>
      <w:r>
        <w:rPr>
          <w:rFonts w:hint="eastAsia" w:eastAsia="方正仿宋_GBK" w:cs="Times New Roman"/>
          <w:sz w:val="32"/>
          <w:szCs w:val="32"/>
          <w:highlight w:val="none"/>
          <w:lang w:val="en-US" w:eastAsia="zh-CN"/>
        </w:rPr>
        <w:t>综合行政执法大队</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eastAsia="方正小标宋_GBK"/>
          <w:sz w:val="44"/>
          <w:szCs w:val="44"/>
          <w:highlight w:val="none"/>
        </w:rPr>
      </w:pP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预算公开联系人：</w:t>
      </w:r>
      <w:r>
        <w:rPr>
          <w:rFonts w:hint="default" w:ascii="Times New Roman" w:hAnsi="Times New Roman" w:eastAsia="方正仿宋_GBK" w:cs="Times New Roman"/>
          <w:sz w:val="32"/>
          <w:szCs w:val="32"/>
          <w:highlight w:val="none"/>
          <w:lang w:val="en-US" w:eastAsia="zh-CN"/>
        </w:rPr>
        <w:t>范冬冬</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联系方式：023-</w:t>
      </w:r>
      <w:r>
        <w:rPr>
          <w:rFonts w:hint="default" w:ascii="Times New Roman" w:hAnsi="Times New Roman" w:eastAsia="方正仿宋_GBK" w:cs="Times New Roman"/>
          <w:sz w:val="32"/>
          <w:szCs w:val="32"/>
          <w:highlight w:val="none"/>
          <w:lang w:val="en-US" w:eastAsia="zh-CN"/>
        </w:rPr>
        <w:t>52291925</w:t>
      </w:r>
    </w:p>
    <w:p>
      <w:pPr>
        <w:keepNext w:val="0"/>
        <w:keepLines w:val="0"/>
        <w:pageBreakBefore w:val="0"/>
        <w:kinsoku/>
        <w:wordWrap/>
        <w:overflowPunct/>
        <w:topLinePunct w:val="0"/>
        <w:autoSpaceDE/>
        <w:autoSpaceDN/>
        <w:bidi w:val="0"/>
        <w:adjustRightInd/>
        <w:snapToGrid/>
        <w:spacing w:line="594" w:lineRule="exact"/>
        <w:jc w:val="center"/>
        <w:textAlignment w:val="auto"/>
        <w:rPr>
          <w:rFonts w:eastAsia="方正小标宋_GBK"/>
          <w:sz w:val="44"/>
          <w:szCs w:val="44"/>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eastAsia="方正仿宋_GBK"/>
          <w:sz w:val="32"/>
          <w:szCs w:val="32"/>
          <w:highlight w:val="none"/>
          <w:lang w:val="en-US" w:eastAsia="zh-CN"/>
        </w:rPr>
      </w:pPr>
      <w:r>
        <w:rPr>
          <w:rFonts w:eastAsia="方正仿宋_GBK"/>
          <w:sz w:val="32"/>
          <w:szCs w:val="32"/>
          <w:highlight w:val="none"/>
        </w:rPr>
        <w:t>　</w:t>
      </w:r>
      <w:r>
        <w:rPr>
          <w:rFonts w:hint="eastAsia" w:eastAsia="方正仿宋_GBK"/>
          <w:sz w:val="32"/>
          <w:szCs w:val="32"/>
          <w:highlight w:val="none"/>
        </w:rPr>
        <w:t xml:space="preserve">             </w:t>
      </w:r>
      <w:r>
        <w:rPr>
          <w:rFonts w:hint="eastAsia" w:eastAsia="方正仿宋_GBK"/>
          <w:sz w:val="32"/>
          <w:szCs w:val="32"/>
          <w:highlight w:val="none"/>
          <w:lang w:val="en-US" w:eastAsia="zh-CN"/>
        </w:rPr>
        <w:t xml:space="preserve">  重庆市开州区人民政府丰乐街道办事处</w:t>
      </w:r>
    </w:p>
    <w:p>
      <w:pPr>
        <w:keepNext w:val="0"/>
        <w:keepLines w:val="0"/>
        <w:pageBreakBefore w:val="0"/>
        <w:kinsoku/>
        <w:wordWrap/>
        <w:overflowPunct/>
        <w:topLinePunct w:val="0"/>
        <w:autoSpaceDE/>
        <w:autoSpaceDN/>
        <w:bidi w:val="0"/>
        <w:adjustRightInd/>
        <w:snapToGrid/>
        <w:spacing w:line="594" w:lineRule="exact"/>
        <w:jc w:val="center"/>
        <w:textAlignment w:val="auto"/>
        <w:rPr>
          <w:rFonts w:eastAsia="方正仿宋_GBK"/>
          <w:sz w:val="32"/>
          <w:szCs w:val="32"/>
          <w:highlight w:val="none"/>
        </w:rPr>
      </w:pPr>
      <w:r>
        <w:rPr>
          <w:rFonts w:eastAsia="方正仿宋_GBK"/>
          <w:sz w:val="32"/>
          <w:szCs w:val="32"/>
          <w:highlight w:val="none"/>
        </w:rPr>
        <w:t>　</w:t>
      </w:r>
      <w:r>
        <w:rPr>
          <w:rFonts w:hint="eastAsia" w:eastAsia="方正仿宋_GBK"/>
          <w:sz w:val="32"/>
          <w:szCs w:val="32"/>
          <w:highlight w:val="none"/>
        </w:rPr>
        <w:t xml:space="preserve">               </w:t>
      </w:r>
      <w:r>
        <w:rPr>
          <w:rFonts w:eastAsia="方正仿宋_GBK"/>
          <w:sz w:val="32"/>
          <w:szCs w:val="32"/>
          <w:highlight w:val="none"/>
        </w:rPr>
        <w:t>202</w:t>
      </w:r>
      <w:r>
        <w:rPr>
          <w:rFonts w:hint="eastAsia" w:eastAsia="方正仿宋_GBK"/>
          <w:sz w:val="32"/>
          <w:szCs w:val="32"/>
          <w:highlight w:val="none"/>
          <w:lang w:val="en-US" w:eastAsia="zh-CN"/>
        </w:rPr>
        <w:t>6</w:t>
      </w:r>
      <w:r>
        <w:rPr>
          <w:rFonts w:eastAsia="方正仿宋_GBK"/>
          <w:sz w:val="32"/>
          <w:szCs w:val="32"/>
          <w:highlight w:val="none"/>
        </w:rPr>
        <w:t>年</w:t>
      </w:r>
      <w:r>
        <w:rPr>
          <w:rFonts w:hint="eastAsia" w:eastAsia="方正仿宋_GBK"/>
          <w:sz w:val="32"/>
          <w:szCs w:val="32"/>
          <w:highlight w:val="none"/>
          <w:lang w:val="en-US" w:eastAsia="zh-CN"/>
        </w:rPr>
        <w:t>3</w:t>
      </w:r>
      <w:r>
        <w:rPr>
          <w:rFonts w:eastAsia="方正仿宋_GBK"/>
          <w:sz w:val="32"/>
          <w:szCs w:val="32"/>
          <w:highlight w:val="none"/>
        </w:rPr>
        <w:t>月</w:t>
      </w:r>
      <w:r>
        <w:rPr>
          <w:rFonts w:hint="eastAsia" w:eastAsia="方正仿宋_GBK"/>
          <w:sz w:val="32"/>
          <w:szCs w:val="32"/>
          <w:highlight w:val="none"/>
          <w:lang w:val="en-US" w:eastAsia="zh-CN"/>
        </w:rPr>
        <w:t>11</w:t>
      </w:r>
      <w:bookmarkStart w:id="0" w:name="_GoBack"/>
      <w:bookmarkEnd w:id="0"/>
      <w:r>
        <w:rPr>
          <w:rFonts w:eastAsia="方正仿宋_GBK"/>
          <w:sz w:val="32"/>
          <w:szCs w:val="32"/>
          <w:highlight w:val="none"/>
        </w:rPr>
        <w:t>日</w:t>
      </w:r>
    </w:p>
    <w:p>
      <w:pPr>
        <w:keepNext w:val="0"/>
        <w:keepLines w:val="0"/>
        <w:pageBreakBefore w:val="0"/>
        <w:kinsoku/>
        <w:wordWrap/>
        <w:overflowPunct/>
        <w:topLinePunct w:val="0"/>
        <w:autoSpaceDE/>
        <w:autoSpaceDN/>
        <w:bidi w:val="0"/>
        <w:adjustRightInd/>
        <w:snapToGrid/>
        <w:spacing w:line="594" w:lineRule="exact"/>
        <w:jc w:val="center"/>
        <w:textAlignment w:val="auto"/>
        <w:rPr>
          <w:rFonts w:eastAsia="方正仿宋_GBK"/>
          <w:sz w:val="32"/>
          <w:szCs w:val="32"/>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eastAsia="方正仿宋_GBK"/>
          <w:sz w:val="32"/>
          <w:szCs w:val="32"/>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eastAsia="方正仿宋_GBK"/>
          <w:sz w:val="32"/>
          <w:szCs w:val="32"/>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eastAsia="方正仿宋_GBK"/>
          <w:sz w:val="32"/>
          <w:szCs w:val="32"/>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eastAsia="方正仿宋_GBK"/>
          <w:sz w:val="32"/>
          <w:szCs w:val="32"/>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eastAsia="方正仿宋_GBK"/>
          <w:sz w:val="32"/>
          <w:szCs w:val="32"/>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eastAsia="方正仿宋_GBK"/>
          <w:sz w:val="32"/>
          <w:szCs w:val="32"/>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eastAsia="方正仿宋_GBK"/>
          <w:sz w:val="32"/>
          <w:szCs w:val="32"/>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eastAsia="方正仿宋_GBK"/>
          <w:sz w:val="32"/>
          <w:szCs w:val="32"/>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eastAsia="方正仿宋_GBK"/>
          <w:sz w:val="32"/>
          <w:szCs w:val="32"/>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eastAsia="方正仿宋_GBK"/>
          <w:sz w:val="32"/>
          <w:szCs w:val="32"/>
          <w:highlight w:val="none"/>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pBdr>
          <w:top w:val="single" w:color="auto" w:sz="8" w:space="1"/>
          <w:bottom w:val="single" w:color="auto" w:sz="8" w:space="1"/>
        </w:pBdr>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方正仿宋_GBK"/>
          <w:b w:val="0"/>
          <w:bCs w:val="0"/>
          <w:spacing w:val="0"/>
          <w:kern w:val="2"/>
          <w:sz w:val="28"/>
          <w:szCs w:val="28"/>
          <w:lang w:val="en-US" w:eastAsia="zh-CN" w:bidi="ar-SA"/>
        </w:rPr>
      </w:pPr>
      <w:r>
        <w:rPr>
          <w:rFonts w:hint="eastAsia" w:ascii="Times New Roman" w:hAnsi="Times New Roman" w:eastAsia="方正仿宋_GBK"/>
          <w:snapToGrid w:val="0"/>
          <w:spacing w:val="0"/>
          <w:kern w:val="0"/>
          <w:sz w:val="28"/>
        </w:rPr>
        <w:t>重庆市开州区</w:t>
      </w:r>
      <w:r>
        <w:rPr>
          <w:rFonts w:hint="eastAsia" w:ascii="Times New Roman" w:hAnsi="Times New Roman" w:eastAsia="方正仿宋_GBK"/>
          <w:snapToGrid w:val="0"/>
          <w:spacing w:val="0"/>
          <w:kern w:val="0"/>
          <w:sz w:val="28"/>
          <w:lang w:eastAsia="zh-CN"/>
        </w:rPr>
        <w:t>丰乐街道基层治理综合指挥室</w:t>
      </w:r>
      <w:r>
        <w:rPr>
          <w:rFonts w:hint="eastAsia" w:eastAsia="方正仿宋_GBK"/>
          <w:snapToGrid w:val="0"/>
          <w:spacing w:val="0"/>
          <w:kern w:val="0"/>
          <w:sz w:val="28"/>
          <w:lang w:val="en-US" w:eastAsia="zh-CN"/>
        </w:rPr>
        <w:t xml:space="preserve"> </w:t>
      </w:r>
      <w:r>
        <w:rPr>
          <w:rFonts w:hint="eastAsia" w:ascii="Times New Roman" w:hAnsi="Times New Roman" w:eastAsia="方正仿宋_GBK"/>
          <w:snapToGrid w:val="0"/>
          <w:spacing w:val="0"/>
          <w:kern w:val="0"/>
          <w:sz w:val="28"/>
          <w:lang w:val="en-US" w:eastAsia="zh-CN"/>
        </w:rPr>
        <w:t xml:space="preserve"> </w:t>
      </w:r>
      <w:r>
        <w:rPr>
          <w:rFonts w:hint="eastAsia" w:ascii="Times New Roman" w:hAnsi="Times New Roman"/>
          <w:snapToGrid w:val="0"/>
          <w:spacing w:val="0"/>
          <w:kern w:val="0"/>
          <w:sz w:val="28"/>
          <w:lang w:val="en-US" w:eastAsia="zh-CN"/>
        </w:rPr>
        <w:t xml:space="preserve">   </w:t>
      </w:r>
      <w:r>
        <w:rPr>
          <w:rFonts w:hint="eastAsia" w:ascii="Times New Roman" w:hAnsi="Times New Roman" w:eastAsia="方正仿宋_GBK" w:cs="方正仿宋_GBK"/>
          <w:snapToGrid w:val="0"/>
          <w:spacing w:val="0"/>
          <w:kern w:val="0"/>
          <w:sz w:val="28"/>
        </w:rPr>
        <w:t>20</w:t>
      </w:r>
      <w:r>
        <w:rPr>
          <w:rFonts w:hint="eastAsia" w:ascii="Times New Roman" w:hAnsi="Times New Roman" w:cs="方正仿宋_GBK"/>
          <w:snapToGrid w:val="0"/>
          <w:spacing w:val="0"/>
          <w:kern w:val="0"/>
          <w:sz w:val="28"/>
          <w:lang w:val="en-US" w:eastAsia="zh-CN"/>
        </w:rPr>
        <w:t>2</w:t>
      </w:r>
      <w:r>
        <w:rPr>
          <w:rFonts w:hint="eastAsia" w:cs="方正仿宋_GBK"/>
          <w:snapToGrid w:val="0"/>
          <w:spacing w:val="0"/>
          <w:kern w:val="0"/>
          <w:sz w:val="28"/>
          <w:lang w:val="en-US" w:eastAsia="zh-CN"/>
        </w:rPr>
        <w:t>6</w:t>
      </w:r>
      <w:r>
        <w:rPr>
          <w:rFonts w:hint="eastAsia" w:ascii="Times New Roman" w:hAnsi="Times New Roman" w:eastAsia="方正仿宋_GBK" w:cs="方正仿宋_GBK"/>
          <w:snapToGrid w:val="0"/>
          <w:spacing w:val="0"/>
          <w:kern w:val="0"/>
          <w:sz w:val="28"/>
        </w:rPr>
        <w:t>年</w:t>
      </w:r>
      <w:r>
        <w:rPr>
          <w:rFonts w:hint="eastAsia" w:cs="方正仿宋_GBK"/>
          <w:snapToGrid w:val="0"/>
          <w:spacing w:val="0"/>
          <w:kern w:val="0"/>
          <w:sz w:val="28"/>
          <w:lang w:val="en-US" w:eastAsia="zh-CN"/>
        </w:rPr>
        <w:t>3</w:t>
      </w:r>
      <w:r>
        <w:rPr>
          <w:rFonts w:hint="eastAsia" w:ascii="Times New Roman" w:hAnsi="Times New Roman" w:eastAsia="方正仿宋_GBK" w:cs="方正仿宋_GBK"/>
          <w:snapToGrid w:val="0"/>
          <w:spacing w:val="0"/>
          <w:kern w:val="0"/>
          <w:sz w:val="28"/>
        </w:rPr>
        <w:t>月</w:t>
      </w:r>
      <w:r>
        <w:rPr>
          <w:rFonts w:hint="eastAsia" w:cs="方正仿宋_GBK"/>
          <w:snapToGrid w:val="0"/>
          <w:spacing w:val="0"/>
          <w:kern w:val="0"/>
          <w:sz w:val="28"/>
          <w:lang w:val="en-US" w:eastAsia="zh-CN"/>
        </w:rPr>
        <w:t>11</w:t>
      </w:r>
      <w:r>
        <w:rPr>
          <w:rFonts w:hint="eastAsia" w:ascii="Times New Roman" w:hAnsi="Times New Roman" w:eastAsia="方正仿宋_GBK" w:cs="方正仿宋_GBK"/>
          <w:snapToGrid w:val="0"/>
          <w:spacing w:val="0"/>
          <w:kern w:val="0"/>
          <w:sz w:val="28"/>
        </w:rPr>
        <w:t>日印发</w:t>
      </w:r>
      <w:r>
        <w:rPr>
          <w:rFonts w:hint="eastAsia" w:ascii="Times New Roman" w:hAnsi="Times New Roman" w:eastAsia="方正仿宋_GBK" w:cs="方正仿宋_GBK"/>
          <w:snapToGrid w:val="0"/>
          <w:spacing w:val="0"/>
          <w:kern w:val="0"/>
          <w:sz w:val="28"/>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5737860</wp:posOffset>
                </wp:positionV>
                <wp:extent cx="56007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451.8pt;height:0pt;width:441pt;z-index:251662336;mso-width-relative:page;mso-height-relative:page;" filled="f" stroked="t" coordsize="21600,21600" o:gfxdata="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jovl81wAAAAsBAAAPAAAAAAAAAAEAIAAAACIAAABkcnMvZG93bnJldi54bWxQSwEC&#10;FAAUAAAACACHTuJAxbOwk/UBAADkAwAADgAAAAAAAAABACAAAAAmAQAAZHJzL2Uyb0RvYy54bWxQ&#10;SwUGAAAAAAYABgBZAQAAjQUAAAAA&#10;">
                <v:fill on="f" focussize="0,0"/>
                <v:stroke color="#000000" joinstyle="round"/>
                <v:imagedata o:title=""/>
                <o:lock v:ext="edit" aspectratio="f"/>
              </v:line>
            </w:pict>
          </mc:Fallback>
        </mc:AlternateContent>
      </w:r>
      <w:r>
        <w:rPr>
          <w:rFonts w:hint="eastAsia" w:ascii="Times New Roman" w:hAnsi="Times New Roman" w:eastAsia="方正仿宋_GBK" w:cs="方正仿宋_GBK"/>
          <w:snapToGrid w:val="0"/>
          <w:spacing w:val="0"/>
          <w:kern w:val="0"/>
          <w:sz w:val="28"/>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5737860</wp:posOffset>
                </wp:positionV>
                <wp:extent cx="56007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451.8pt;height:0pt;width:441pt;z-index:251661312;mso-width-relative:page;mso-height-relative:page;" filled="f" stroked="t" coordsize="21600,21600" o:gfxdata="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jovl81wAAAAsBAAAPAAAAAAAAAAEAIAAAACIAAABkcnMvZG93bnJldi54bWxQSwEC&#10;FAAUAAAACACHTuJA86T8SvUBAADkAwAADgAAAAAAAAABACAAAAAmAQAAZHJzL2Uyb0RvYy54bWxQ&#10;SwUGAAAAAAYABgBZAQAAjQUAAAAA&#10;">
                <v:fill on="f" focussize="0,0"/>
                <v:stroke color="#000000" joinstyle="round"/>
                <v:imagedata o:title=""/>
                <o:lock v:ext="edit" aspectratio="f"/>
              </v:line>
            </w:pict>
          </mc:Fallback>
        </mc:AlternateContent>
      </w:r>
    </w:p>
    <w:sectPr>
      <w:footerReference r:id="rId3" w:type="default"/>
      <w:pgSz w:w="11906" w:h="16838"/>
      <w:pgMar w:top="1984" w:right="1446" w:bottom="1644" w:left="1446" w:header="851"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00000000"/>
    <w:rsid w:val="005D21B5"/>
    <w:rsid w:val="07871329"/>
    <w:rsid w:val="17EE52A3"/>
    <w:rsid w:val="1FC003F8"/>
    <w:rsid w:val="2904045F"/>
    <w:rsid w:val="3CF602EC"/>
    <w:rsid w:val="42AC6425"/>
    <w:rsid w:val="44820EFD"/>
    <w:rsid w:val="4FBB3B01"/>
    <w:rsid w:val="50256685"/>
    <w:rsid w:val="575BCDB1"/>
    <w:rsid w:val="5F8111C9"/>
    <w:rsid w:val="601C3DF5"/>
    <w:rsid w:val="62DB4999"/>
    <w:rsid w:val="630E730A"/>
    <w:rsid w:val="652224F7"/>
    <w:rsid w:val="69B368CF"/>
    <w:rsid w:val="6ADE1D63"/>
    <w:rsid w:val="6DA700B4"/>
    <w:rsid w:val="707352C8"/>
    <w:rsid w:val="717935F0"/>
    <w:rsid w:val="7422694D"/>
    <w:rsid w:val="754650C7"/>
    <w:rsid w:val="777F0FF2"/>
    <w:rsid w:val="7DBE55D1"/>
    <w:rsid w:val="B7EFEC26"/>
    <w:rsid w:val="EFFB5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2453</Words>
  <Characters>2647</Characters>
  <Lines>0</Lines>
  <Paragraphs>0</Paragraphs>
  <TotalTime>1</TotalTime>
  <ScaleCrop>false</ScaleCrop>
  <LinksUpToDate>false</LinksUpToDate>
  <CharactersWithSpaces>2685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2026-02-05T17:38:00Z</dcterms:created>
  <dc:creator>Administrator</dc:creator>
  <cp:lastModifiedBy>冉浩田</cp:lastModifiedBy>
  <cp:lastPrinted>2026-03-01T09:32:00Z</cp:lastPrinted>
  <dcterms:modified xsi:type="dcterms:W3CDTF">2026-03-11T09:00:55Z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DB861E7B5E435D345960A16935B98000_43</vt:lpwstr>
  </property>
  <property fmtid="{D5CDD505-2E9C-101B-9397-08002B2CF9AE}" pid="4" name="KSOTemplateDocerSaveRecord">
    <vt:lpwstr>eyJoZGlkIjoiOWZiNjE1NWEzYjJmNThmNGIwZGFiYTY1MDI4NjY0ZTciLCJ1c2VySWQiOiIxNjM5ODI3OTI2In0=</vt:lpwstr>
  </property>
</Properties>
</file>