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sz w:val="32"/>
          <w:szCs w:val="32"/>
        </w:rPr>
      </w:pPr>
      <w:bookmarkStart w:id="0" w:name="_Hlk37239649"/>
      <w:bookmarkEnd w:id="0"/>
    </w:p>
    <w:p>
      <w:pPr>
        <w:spacing w:line="600" w:lineRule="exact"/>
        <w:jc w:val="center"/>
        <w:rPr>
          <w:sz w:val="32"/>
          <w:szCs w:val="32"/>
        </w:rPr>
      </w:pPr>
    </w:p>
    <w:p>
      <w:pPr>
        <w:spacing w:line="600" w:lineRule="exact"/>
        <w:jc w:val="center"/>
        <w:rPr>
          <w:sz w:val="32"/>
          <w:szCs w:val="32"/>
        </w:rPr>
      </w:pPr>
    </w:p>
    <w:p>
      <w:pPr>
        <w:pStyle w:val="2"/>
        <w:rPr>
          <w:sz w:val="32"/>
          <w:szCs w:val="32"/>
        </w:rPr>
      </w:pPr>
    </w:p>
    <w:p>
      <w:pPr>
        <w:rPr>
          <w:szCs w:val="22"/>
        </w:rPr>
      </w:pPr>
      <w:r>
        <w:rPr>
          <w:szCs w:val="22"/>
        </w:rPr>
        <w:pict>
          <v:shape id="_x0000_i1025" o:spt="136" type="#_x0000_t136" style="height:91.7pt;width:432.7pt;" fillcolor="#FF0000" filled="t" coordsize="21600,21600">
            <v:path/>
            <v:fill on="t" focussize="0,0"/>
            <v:stroke color="#FF0000"/>
            <v:imagedata o:title=""/>
            <o:lock v:ext="edit"/>
            <v:textpath on="t" fitshape="t" fitpath="t" trim="t" xscale="f" string="重庆市开州区满月镇人民政府文件" style="font-family:宋体;font-size:60pt;font-weight:bold;v-text-align:center;"/>
            <w10:wrap type="none"/>
            <w10:anchorlock/>
          </v:shape>
        </w:pict>
      </w:r>
    </w:p>
    <w:p>
      <w:pPr>
        <w:spacing w:line="600" w:lineRule="exact"/>
        <w:jc w:val="center"/>
        <w:rPr>
          <w:rFonts w:eastAsia="仿宋_GB2312"/>
          <w:szCs w:val="32"/>
        </w:rPr>
      </w:pPr>
    </w:p>
    <w:p>
      <w:pPr>
        <w:spacing w:line="600" w:lineRule="exact"/>
        <w:jc w:val="center"/>
        <w:rPr>
          <w:rFonts w:eastAsia="仿宋_GB2312"/>
          <w:sz w:val="32"/>
          <w:szCs w:val="32"/>
        </w:rPr>
      </w:pPr>
      <w:r>
        <w:rPr>
          <w:rFonts w:eastAsia="方正仿宋_GBK"/>
          <w:sz w:val="32"/>
          <w:szCs w:val="32"/>
        </w:rPr>
        <w:t>开州满府发</w:t>
      </w:r>
      <w:r>
        <w:rPr>
          <w:rFonts w:eastAsia="方正仿宋_GBK"/>
          <w:bCs/>
          <w:sz w:val="32"/>
          <w:szCs w:val="32"/>
        </w:rPr>
        <w:t>〔</w:t>
      </w:r>
      <w:r>
        <w:rPr>
          <w:rFonts w:hint="default" w:ascii="Times New Roman" w:hAnsi="Times New Roman" w:eastAsia="方正仿宋_GBK" w:cs="Times New Roman"/>
          <w:bCs/>
          <w:sz w:val="32"/>
          <w:szCs w:val="32"/>
        </w:rPr>
        <w:t>2026〕</w:t>
      </w:r>
      <w:r>
        <w:rPr>
          <w:rFonts w:hint="eastAsia" w:eastAsia="方正仿宋_GBK" w:cs="Times New Roman"/>
          <w:bCs/>
          <w:sz w:val="32"/>
          <w:szCs w:val="32"/>
          <w:lang w:val="en-US" w:eastAsia="zh-CN"/>
        </w:rPr>
        <w:t>20</w:t>
      </w:r>
      <w:r>
        <w:rPr>
          <w:rFonts w:eastAsia="方正仿宋_GBK"/>
          <w:bCs/>
          <w:sz w:val="32"/>
          <w:szCs w:val="32"/>
        </w:rPr>
        <w:t>号</w:t>
      </w:r>
    </w:p>
    <w:p>
      <w:pPr>
        <w:spacing w:line="600" w:lineRule="exact"/>
        <w:jc w:val="center"/>
        <w:rPr>
          <w:rFonts w:cs="微软雅黑"/>
          <w:szCs w:val="21"/>
        </w:rPr>
      </w:pPr>
      <w:r>
        <w:rPr>
          <w:rFonts w:cs="微软雅黑"/>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70485</wp:posOffset>
                </wp:positionV>
                <wp:extent cx="5372100" cy="635"/>
                <wp:effectExtent l="0" t="19050" r="0" b="37465"/>
                <wp:wrapNone/>
                <wp:docPr id="3" name="直接连接符 3"/>
                <wp:cNvGraphicFramePr/>
                <a:graphic xmlns:a="http://schemas.openxmlformats.org/drawingml/2006/main">
                  <a:graphicData uri="http://schemas.microsoft.com/office/word/2010/wordprocessingShape">
                    <wps:wsp>
                      <wps:cNvCnPr/>
                      <wps:spPr>
                        <a:xfrm>
                          <a:off x="0" y="0"/>
                          <a:ext cx="5372100"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5.55pt;height:0.05pt;width:423pt;z-index:251659264;mso-width-relative:page;mso-height-relative:page;" filled="f" stroked="t" coordsize="21600,21600" o:gfxdata="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yw7UtgAAAAHAQAADwAAAAAAAAABACAAAAAiAAAAZHJzL2Rvd25yZXYueG1sUEsBAhQA&#10;FAAAAAgAh07iQHMbRtvyAQAA6QMAAA4AAAAAAAAAAQAgAAAAJwEAAGRycy9lMm9Eb2MueG1sUEsF&#10;BgAAAAAGAAYAWQEAAIsFAAAAAA==&#10;">
                <v:fill on="f" focussize="0,0"/>
                <v:stroke weight="3pt" color="#FF0000" joinstyle="round"/>
                <v:imagedata o:title=""/>
                <o:lock v:ext="edit" aspectratio="f"/>
              </v:line>
            </w:pict>
          </mc:Fallback>
        </mc:AlternateContent>
      </w:r>
    </w:p>
    <w:p>
      <w:pPr>
        <w:keepNext w:val="0"/>
        <w:keepLines w:val="0"/>
        <w:pageBreakBefore w:val="0"/>
        <w:kinsoku/>
        <w:overflowPunct/>
        <w:topLinePunct w:val="0"/>
        <w:autoSpaceDE w:val="0"/>
        <w:autoSpaceDN w:val="0"/>
        <w:bidi w:val="0"/>
        <w:adjustRightInd w:val="0"/>
        <w:snapToGrid/>
        <w:spacing w:line="540" w:lineRule="exact"/>
        <w:jc w:val="center"/>
        <w:textAlignment w:val="auto"/>
        <w:rPr>
          <w:rFonts w:ascii="方正仿宋_GBK" w:eastAsia="方正仿宋_GBK" w:cs="黑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重庆市开州区满月镇</w:t>
      </w:r>
      <w:r>
        <w:rPr>
          <w:rFonts w:hint="eastAsia" w:eastAsia="方正小标宋_GBK"/>
          <w:sz w:val="44"/>
          <w:szCs w:val="44"/>
        </w:rPr>
        <w:t>人民政府</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关于满月镇新时代文明实践服务中心</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default" w:ascii="Times New Roman" w:hAnsi="Times New Roman" w:eastAsia="方正小标宋_GBK" w:cs="Times New Roman"/>
          <w:color w:val="auto"/>
          <w:sz w:val="44"/>
          <w:szCs w:val="44"/>
          <w:highlight w:val="none"/>
          <w:lang w:eastAsia="zh-CN"/>
        </w:rPr>
        <w:t>单位</w:t>
      </w:r>
      <w:r>
        <w:rPr>
          <w:rFonts w:hint="default" w:ascii="Times New Roman" w:hAnsi="Times New Roman" w:eastAsia="方正小标宋_GBK" w:cs="Times New Roman"/>
          <w:color w:val="auto"/>
          <w:sz w:val="44"/>
          <w:szCs w:val="44"/>
          <w:highlight w:val="none"/>
        </w:rPr>
        <w:t>预算情况公开的</w:t>
      </w:r>
      <w:r>
        <w:rPr>
          <w:rFonts w:hint="default" w:ascii="Times New Roman" w:hAnsi="Times New Roman" w:eastAsia="方正小标宋_GBK" w:cs="Times New Roman"/>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按照有关财政预算公开的部署和要求，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依据《中华人民共和国政府信息公开条例》（国务院令第492号）和重庆市开州区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满月镇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人民</w:t>
      </w:r>
      <w:r>
        <w:rPr>
          <w:rFonts w:hint="eastAsia" w:eastAsia="方正仿宋_GBK" w:cs="Times New Roman"/>
          <w:color w:val="000000" w:themeColor="text1"/>
          <w:sz w:val="32"/>
          <w:szCs w:val="32"/>
          <w:highlight w:val="none"/>
          <w:lang w:eastAsia="zh-CN"/>
          <w14:textFill>
            <w14:solidFill>
              <w14:schemeClr w14:val="tx1"/>
            </w14:solidFill>
          </w14:textFill>
        </w:rPr>
        <w:t>政府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《关于批复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2026年</w:t>
      </w:r>
      <w:r>
        <w:rPr>
          <w:rFonts w:hint="eastAsia" w:eastAsia="方正仿宋_GBK"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预算的通知</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》（开州满</w:t>
      </w:r>
      <w:r>
        <w:rPr>
          <w:rFonts w:hint="eastAsia" w:eastAsia="方正仿宋_GBK" w:cs="Times New Roman"/>
          <w:color w:val="000000" w:themeColor="text1"/>
          <w:sz w:val="32"/>
          <w:szCs w:val="32"/>
          <w:highlight w:val="none"/>
          <w:lang w:eastAsia="zh-CN"/>
          <w14:textFill>
            <w14:solidFill>
              <w14:schemeClr w14:val="tx1"/>
            </w14:solidFill>
          </w14:textFill>
        </w:rPr>
        <w:t>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发</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2026</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17</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,现将</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重庆市开州</w:t>
      </w:r>
      <w:r>
        <w:rPr>
          <w:rFonts w:hint="default" w:ascii="Times New Roman" w:hAnsi="Times New Roman" w:eastAsia="方正仿宋_GBK" w:cs="Times New Roman"/>
          <w:color w:val="auto"/>
          <w:sz w:val="32"/>
          <w:szCs w:val="32"/>
          <w:highlight w:val="none"/>
          <w:lang w:eastAsia="zh-CN"/>
        </w:rPr>
        <w:t>区满月镇新时代文明实践服务中心</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目</w:t>
      </w:r>
      <w:r>
        <w:rPr>
          <w:rFonts w:hint="eastAsia" w:eastAsia="方正小标宋_GBK" w:cs="Times New Roman"/>
          <w:color w:val="auto"/>
          <w:sz w:val="44"/>
          <w:szCs w:val="44"/>
          <w:highlight w:val="none"/>
          <w:lang w:val="en-US" w:eastAsia="zh-CN"/>
        </w:rPr>
        <w:t xml:space="preserve">  </w:t>
      </w:r>
      <w:r>
        <w:rPr>
          <w:rFonts w:hint="default" w:ascii="Times New Roman" w:hAnsi="Times New Roman" w:eastAsia="方正小标宋_GBK" w:cs="Times New Roman"/>
          <w:color w:val="auto"/>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第一部分：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eastAsia="zh-CN"/>
        </w:rPr>
        <w:t>单位</w:t>
      </w:r>
      <w:r>
        <w:rPr>
          <w:rFonts w:hint="default" w:ascii="Times New Roman" w:hAnsi="Times New Roman" w:eastAsia="方正楷体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w:t>
      </w:r>
      <w:r>
        <w:rPr>
          <w:rFonts w:hint="eastAsia" w:eastAsia="方正仿宋_GBK" w:cs="Times New Roman"/>
          <w:color w:val="auto"/>
          <w:sz w:val="32"/>
          <w:szCs w:val="32"/>
          <w:highlight w:val="none"/>
          <w:lang w:eastAsia="zh-CN"/>
        </w:rPr>
        <w:t>单位</w:t>
      </w:r>
      <w:r>
        <w:rPr>
          <w:rFonts w:hint="default" w:ascii="Times New Roman" w:hAnsi="Times New Roman" w:eastAsia="方正仿宋_GBK" w:cs="Times New Roman"/>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w:t>
      </w:r>
      <w:r>
        <w:rPr>
          <w:rFonts w:hint="eastAsia" w:eastAsia="方正仿宋_GBK" w:cs="Times New Roman"/>
          <w:color w:val="auto"/>
          <w:sz w:val="32"/>
          <w:szCs w:val="32"/>
          <w:highlight w:val="none"/>
          <w:lang w:eastAsia="zh-CN"/>
        </w:rPr>
        <w:t>单位</w:t>
      </w:r>
      <w:r>
        <w:rPr>
          <w:rFonts w:hint="default" w:ascii="Times New Roman" w:hAnsi="Times New Roman" w:eastAsia="方正仿宋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rPr>
      </w:pPr>
      <w:r>
        <w:rPr>
          <w:rFonts w:hint="default" w:ascii="Times New Roman" w:hAnsi="Times New Roman" w:eastAsia="方正楷体_GBK" w:cs="Times New Roman"/>
          <w:color w:val="auto"/>
          <w:sz w:val="32"/>
          <w:szCs w:val="32"/>
          <w:highlight w:val="none"/>
        </w:rPr>
        <w:t>第二部分：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eastAsia="zh-CN"/>
        </w:rPr>
        <w:t>单位</w:t>
      </w:r>
      <w:r>
        <w:rPr>
          <w:rFonts w:hint="default" w:ascii="Times New Roman" w:hAnsi="Times New Roman" w:eastAsia="方正楷体_GBK" w:cs="Times New Roman"/>
          <w:color w:val="auto"/>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表1</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表2</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表3</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表4</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表5</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表6</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表7</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eastAsia" w:eastAsia="方正仿宋_GBK" w:cs="Times New Roman"/>
          <w:color w:val="auto"/>
          <w:sz w:val="32"/>
          <w:szCs w:val="32"/>
          <w:highlight w:val="none"/>
          <w:lang w:eastAsia="zh-CN"/>
        </w:rPr>
        <w:t>表</w:t>
      </w:r>
      <w:r>
        <w:rPr>
          <w:rFonts w:hint="default" w:ascii="Times New Roman" w:hAnsi="Times New Roman" w:eastAsia="方正仿宋_GBK" w:cs="Times New Roman"/>
          <w:color w:val="auto"/>
          <w:sz w:val="32"/>
          <w:szCs w:val="32"/>
          <w:highlight w:val="none"/>
        </w:rPr>
        <w:t>8</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eastAsia" w:eastAsia="方正仿宋_GBK" w:cs="Times New Roman"/>
          <w:color w:val="auto"/>
          <w:sz w:val="32"/>
          <w:szCs w:val="32"/>
          <w:highlight w:val="none"/>
          <w:lang w:eastAsia="zh-CN"/>
        </w:rPr>
        <w:t>表</w:t>
      </w:r>
      <w:r>
        <w:rPr>
          <w:rFonts w:hint="default" w:ascii="Times New Roman" w:hAnsi="Times New Roman" w:eastAsia="方正仿宋_GBK" w:cs="Times New Roman"/>
          <w:color w:val="auto"/>
          <w:sz w:val="32"/>
          <w:szCs w:val="32"/>
          <w:highlight w:val="none"/>
        </w:rPr>
        <w:t>9</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eastAsia" w:eastAsia="方正仿宋_GBK" w:cs="Times New Roman"/>
          <w:color w:val="auto"/>
          <w:sz w:val="32"/>
          <w:szCs w:val="32"/>
          <w:highlight w:val="none"/>
          <w:lang w:eastAsia="zh-CN"/>
        </w:rPr>
        <w:t>表</w:t>
      </w:r>
      <w:r>
        <w:rPr>
          <w:rFonts w:hint="default" w:ascii="Times New Roman" w:hAnsi="Times New Roman" w:eastAsia="方正仿宋_GBK" w:cs="Times New Roman"/>
          <w:color w:val="auto"/>
          <w:sz w:val="32"/>
          <w:szCs w:val="32"/>
          <w:highlight w:val="none"/>
        </w:rPr>
        <w:t>10</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重庆市开州区满月镇新时代文明实践服务中心</w:t>
      </w:r>
      <w:r>
        <w:rPr>
          <w:rFonts w:hint="default" w:ascii="Times New Roman" w:hAnsi="Times New Roman" w:eastAsia="方正仿宋_GBK" w:cs="Times New Roman"/>
          <w:color w:val="auto"/>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page"/>
      </w:r>
      <w:r>
        <w:rPr>
          <w:rFonts w:hint="default" w:ascii="Times New Roman" w:hAnsi="Times New Roman" w:eastAsia="方正小标宋_GBK" w:cs="Times New Roman"/>
          <w:color w:val="auto"/>
          <w:sz w:val="44"/>
          <w:szCs w:val="44"/>
          <w:highlight w:val="none"/>
        </w:rPr>
        <w:t>第一部分：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eastAsia="zh-CN"/>
        </w:rPr>
        <w:t>单位</w:t>
      </w:r>
      <w:r>
        <w:rPr>
          <w:rFonts w:hint="default" w:ascii="Times New Roman" w:hAnsi="Times New Roman" w:eastAsia="方正小标宋_GBK" w:cs="Times New Roman"/>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华文中宋"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color w:val="auto"/>
          <w:sz w:val="32"/>
          <w:highlight w:val="none"/>
          <w:lang w:eastAsia="zh-CN"/>
        </w:rPr>
      </w:pPr>
      <w:r>
        <w:rPr>
          <w:rFonts w:hint="default" w:ascii="Times New Roman" w:hAnsi="Times New Roman" w:eastAsia="方正楷体_GBK" w:cs="Times New Roman"/>
          <w:color w:val="auto"/>
          <w:sz w:val="32"/>
          <w:highlight w:val="none"/>
        </w:rPr>
        <w:t>（一）职能职责</w:t>
      </w:r>
      <w:r>
        <w:rPr>
          <w:rFonts w:hint="eastAsia" w:eastAsia="方正楷体_GBK" w:cs="Times New Roman"/>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rPr>
        <w:t>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r>
        <w:rPr>
          <w:rFonts w:hint="default" w:ascii="Times New Roman" w:hAnsi="Times New Roman" w:eastAsia="方正仿宋_GBK" w:cs="Times New Roman"/>
          <w:color w:val="auto"/>
          <w:sz w:val="32"/>
          <w:highlight w:val="none"/>
          <w:lang w:val="en-US" w:eastAsia="zh-CN"/>
        </w:rPr>
        <w:t xml:space="preserve"> </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eastAsia" w:ascii="Times New Roman" w:hAnsi="Times New Roman" w:eastAsia="方正楷体_GBK" w:cs="Times New Roman"/>
          <w:color w:val="auto"/>
          <w:sz w:val="32"/>
          <w:highlight w:val="none"/>
          <w:lang w:eastAsia="zh-CN"/>
        </w:rPr>
      </w:pPr>
      <w:r>
        <w:rPr>
          <w:rFonts w:hint="default" w:ascii="Times New Roman" w:hAnsi="Times New Roman" w:eastAsia="方正楷体_GBK" w:cs="Times New Roman"/>
          <w:color w:val="auto"/>
          <w:sz w:val="32"/>
          <w:highlight w:val="none"/>
        </w:rPr>
        <w:t>（二）单位构成</w:t>
      </w:r>
      <w:r>
        <w:rPr>
          <w:rFonts w:hint="eastAsia" w:ascii="Times New Roman" w:hAnsi="Times New Roman" w:eastAsia="方正楷体_GBK" w:cs="Times New Roman"/>
          <w:color w:val="auto"/>
          <w:sz w:val="32"/>
          <w:highlight w:val="none"/>
          <w:lang w:eastAsia="zh-CN"/>
        </w:rPr>
        <w:t>。</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szCs w:val="32"/>
          <w:highlight w:val="none"/>
          <w:lang w:eastAsia="zh-CN"/>
        </w:rPr>
        <w:t>重庆市开州区满月镇新时代文明实践服务中心，属重庆市开州区满月镇人民政府下设二级事业单位</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二、</w:t>
      </w:r>
      <w:r>
        <w:rPr>
          <w:rFonts w:hint="eastAsia" w:eastAsia="方正黑体_GBK" w:cs="Times New Roman"/>
          <w:color w:val="auto"/>
          <w:sz w:val="32"/>
          <w:highlight w:val="none"/>
          <w:lang w:eastAsia="zh-CN"/>
        </w:rPr>
        <w:t>单位</w:t>
      </w:r>
      <w:r>
        <w:rPr>
          <w:rFonts w:hint="default" w:ascii="Times New Roman" w:hAnsi="Times New Roman" w:eastAsia="方正黑体_GBK" w:cs="Times New Roman"/>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highlight w:val="none"/>
        </w:rPr>
        <w:t>（一）收入预算：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万元，其中：一般公共预算拨款</w:t>
      </w:r>
      <w:r>
        <w:rPr>
          <w:rFonts w:hint="default" w:ascii="Times New Roman" w:hAnsi="Times New Roman" w:eastAsia="方正仿宋_GBK" w:cs="Times New Roman"/>
          <w:color w:val="auto"/>
          <w:sz w:val="32"/>
          <w:highlight w:val="none"/>
          <w:lang w:eastAsia="zh-CN"/>
        </w:rPr>
        <w:t>收入</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万元，政府性基金预算拨款</w:t>
      </w:r>
      <w:r>
        <w:rPr>
          <w:rFonts w:hint="default" w:ascii="Times New Roman" w:hAnsi="Times New Roman" w:eastAsia="方正仿宋_GBK" w:cs="Times New Roman"/>
          <w:color w:val="auto"/>
          <w:sz w:val="32"/>
          <w:highlight w:val="none"/>
          <w:lang w:eastAsia="zh-CN"/>
        </w:rPr>
        <w:t>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收入较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万元，主要</w:t>
      </w:r>
      <w:r>
        <w:rPr>
          <w:rFonts w:hint="default" w:ascii="Times New Roman" w:hAnsi="Times New Roman" w:eastAsia="方正仿宋_GBK" w:cs="Times New Roman"/>
          <w:color w:val="auto"/>
          <w:sz w:val="32"/>
          <w:highlight w:val="none"/>
          <w:lang w:eastAsia="zh-CN"/>
        </w:rPr>
        <w:t>原因</w:t>
      </w:r>
      <w:r>
        <w:rPr>
          <w:rFonts w:hint="default" w:ascii="Times New Roman" w:hAnsi="Times New Roman" w:eastAsia="方正仿宋_GBK" w:cs="Times New Roman"/>
          <w:color w:val="auto"/>
          <w:sz w:val="32"/>
          <w:highlight w:val="none"/>
        </w:rPr>
        <w:t>是</w:t>
      </w:r>
      <w:r>
        <w:rPr>
          <w:rFonts w:hint="default" w:ascii="Times New Roman" w:hAnsi="Times New Roman" w:eastAsia="方正仿宋_GBK" w:cs="Times New Roman"/>
          <w:color w:val="auto"/>
          <w:sz w:val="32"/>
          <w:highlight w:val="none"/>
          <w:lang w:val="en-US" w:eastAsia="zh-CN"/>
        </w:rPr>
        <w:t>2025年是整体预算，2026年年度所属各单位分别预算，独立核算。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楷体_GBK" w:cs="Times New Roman"/>
          <w:color w:val="auto"/>
          <w:sz w:val="32"/>
          <w:highlight w:val="none"/>
        </w:rPr>
        <w:t>（二）支出预算：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万元，其中：文化旅游体育与传媒支出</w:t>
      </w:r>
      <w:r>
        <w:rPr>
          <w:rFonts w:hint="default" w:ascii="Times New Roman" w:hAnsi="Times New Roman" w:eastAsia="方正仿宋_GBK" w:cs="Times New Roman"/>
          <w:color w:val="auto"/>
          <w:sz w:val="32"/>
          <w:highlight w:val="none"/>
          <w:lang w:val="en-US" w:eastAsia="zh-CN"/>
        </w:rPr>
        <w:t>51.15</w:t>
      </w:r>
      <w:r>
        <w:rPr>
          <w:rFonts w:hint="default" w:ascii="Times New Roman" w:hAnsi="Times New Roman" w:eastAsia="方正仿宋_GBK" w:cs="Times New Roman"/>
          <w:color w:val="auto"/>
          <w:sz w:val="32"/>
          <w:highlight w:val="none"/>
        </w:rPr>
        <w:t>万元，社会保障和就业支出预算9.21万元，卫生健康支出预算</w:t>
      </w:r>
      <w:r>
        <w:rPr>
          <w:rFonts w:hint="default" w:ascii="Times New Roman" w:hAnsi="Times New Roman" w:eastAsia="方正仿宋_GBK" w:cs="Times New Roman"/>
          <w:color w:val="auto"/>
          <w:sz w:val="32"/>
          <w:highlight w:val="none"/>
          <w:lang w:val="en-US" w:eastAsia="zh-CN"/>
        </w:rPr>
        <w:t>3.26</w:t>
      </w:r>
      <w:r>
        <w:rPr>
          <w:rFonts w:hint="default" w:ascii="Times New Roman" w:hAnsi="Times New Roman" w:eastAsia="方正仿宋_GBK" w:cs="Times New Roman"/>
          <w:color w:val="auto"/>
          <w:sz w:val="32"/>
          <w:highlight w:val="none"/>
        </w:rPr>
        <w:t>万元，住房保障支出预算</w:t>
      </w:r>
      <w:r>
        <w:rPr>
          <w:rFonts w:hint="default" w:ascii="Times New Roman" w:hAnsi="Times New Roman" w:eastAsia="方正仿宋_GBK" w:cs="Times New Roman"/>
          <w:color w:val="auto"/>
          <w:sz w:val="32"/>
          <w:highlight w:val="none"/>
          <w:lang w:val="en-US" w:eastAsia="zh-CN"/>
        </w:rPr>
        <w:t>3.24</w:t>
      </w:r>
      <w:r>
        <w:rPr>
          <w:rFonts w:hint="default" w:ascii="Times New Roman" w:hAnsi="Times New Roman" w:eastAsia="方正仿宋_GBK" w:cs="Times New Roman"/>
          <w:color w:val="auto"/>
          <w:sz w:val="32"/>
          <w:highlight w:val="none"/>
        </w:rPr>
        <w:t>万元。支出预算较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万元，主要是基本支出预算增加</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万元，项目支出预算增加</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万元。主要</w:t>
      </w:r>
      <w:r>
        <w:rPr>
          <w:rFonts w:hint="default" w:ascii="Times New Roman" w:hAnsi="Times New Roman" w:eastAsia="方正仿宋_GBK" w:cs="Times New Roman"/>
          <w:color w:val="auto"/>
          <w:sz w:val="32"/>
          <w:highlight w:val="none"/>
          <w:lang w:eastAsia="zh-CN"/>
        </w:rPr>
        <w:t>原因</w:t>
      </w:r>
      <w:r>
        <w:rPr>
          <w:rFonts w:hint="default" w:ascii="Times New Roman" w:hAnsi="Times New Roman" w:eastAsia="方正仿宋_GBK" w:cs="Times New Roman"/>
          <w:color w:val="auto"/>
          <w:sz w:val="32"/>
          <w:highlight w:val="none"/>
        </w:rPr>
        <w:t>是</w:t>
      </w:r>
      <w:r>
        <w:rPr>
          <w:rFonts w:hint="default" w:ascii="Times New Roman" w:hAnsi="Times New Roman" w:eastAsia="方正仿宋_GBK" w:cs="Times New Roman"/>
          <w:color w:val="auto"/>
          <w:sz w:val="32"/>
          <w:highlight w:val="none"/>
          <w:lang w:val="en-US" w:eastAsia="zh-CN"/>
        </w:rPr>
        <w:t>2025年是整体预算，2026年年度所属各单位分别预算，独立核算。</w:t>
      </w:r>
      <w:r>
        <w:rPr>
          <w:rFonts w:hint="default" w:ascii="Times New Roman" w:hAnsi="Times New Roman" w:eastAsia="方正仿宋_GBK" w:cs="Times New Roman"/>
          <w:color w:val="auto"/>
          <w:sz w:val="32"/>
          <w:szCs w:val="32"/>
          <w:highlight w:val="none"/>
          <w:lang w:eastAsia="zh-CN"/>
        </w:rPr>
        <w:t>因四舍五入原因，上述明细直接加总与汇总不等。</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三、</w:t>
      </w:r>
      <w:r>
        <w:rPr>
          <w:rFonts w:hint="eastAsia" w:eastAsia="方正黑体_GBK" w:cs="Times New Roman"/>
          <w:color w:val="auto"/>
          <w:sz w:val="32"/>
          <w:highlight w:val="none"/>
          <w:lang w:eastAsia="zh-CN"/>
        </w:rPr>
        <w:t>单位</w:t>
      </w:r>
      <w:r>
        <w:rPr>
          <w:rFonts w:hint="default" w:ascii="Times New Roman" w:hAnsi="Times New Roman" w:eastAsia="方正黑体_GBK" w:cs="Times New Roman"/>
          <w:color w:val="auto"/>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年一般公共预算财政拨款收入</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万元，一般公共预算财政拨款支出</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万元。其中：基本支出</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default" w:ascii="Times New Roman" w:hAnsi="Times New Roman" w:eastAsia="方正仿宋_GBK" w:cs="Times New Roman"/>
          <w:color w:val="auto"/>
          <w:sz w:val="32"/>
          <w:highlight w:val="none"/>
          <w:lang w:val="en-US" w:eastAsia="zh-CN"/>
        </w:rPr>
        <w:t>66.87</w:t>
      </w:r>
      <w:r>
        <w:rPr>
          <w:rFonts w:hint="default" w:ascii="Times New Roman" w:hAnsi="Times New Roman" w:eastAsia="方正仿宋_GBK" w:cs="Times New Roman"/>
          <w:color w:val="auto"/>
          <w:sz w:val="32"/>
          <w:highlight w:val="none"/>
        </w:rPr>
        <w:t>万元，主要</w:t>
      </w:r>
      <w:r>
        <w:rPr>
          <w:rFonts w:hint="default" w:ascii="Times New Roman" w:hAnsi="Times New Roman" w:eastAsia="方正仿宋_GBK" w:cs="Times New Roman"/>
          <w:color w:val="auto"/>
          <w:sz w:val="32"/>
          <w:highlight w:val="none"/>
          <w:lang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2025年是整体预算，2026年部门和事业单位分别预算，独立核算等。</w:t>
      </w:r>
      <w:r>
        <w:rPr>
          <w:rFonts w:hint="default" w:ascii="Times New Roman" w:hAnsi="Times New Roman" w:eastAsia="方正仿宋_GBK" w:cs="Times New Roman"/>
          <w:color w:val="auto"/>
          <w:sz w:val="32"/>
          <w:highlight w:val="none"/>
        </w:rPr>
        <w:t>主要用于保障</w:t>
      </w:r>
      <w:r>
        <w:rPr>
          <w:rFonts w:hint="default" w:ascii="Times New Roman" w:hAnsi="Times New Roman" w:eastAsia="方正仿宋_GBK" w:cs="Times New Roman"/>
          <w:color w:val="auto"/>
          <w:sz w:val="32"/>
          <w:highlight w:val="none"/>
          <w:lang w:eastAsia="zh-CN"/>
        </w:rPr>
        <w:t>重庆市开州区满月镇新时代文明实践服务中心</w:t>
      </w:r>
      <w:r>
        <w:rPr>
          <w:rFonts w:hint="default" w:ascii="Times New Roman" w:hAnsi="Times New Roman" w:eastAsia="方正仿宋_GBK" w:cs="Times New Roman"/>
          <w:color w:val="auto"/>
          <w:sz w:val="32"/>
          <w:highlight w:val="none"/>
        </w:rPr>
        <w:t>在职人员工资福利及社会保险缴费，离休人员离休费，退休人员补助等，保障</w:t>
      </w:r>
      <w:r>
        <w:rPr>
          <w:rFonts w:hint="eastAsia" w:ascii="Times New Roman" w:hAnsi="Times New Roman" w:eastAsia="方正仿宋_GBK" w:cs="Times New Roman"/>
          <w:color w:val="auto"/>
          <w:sz w:val="32"/>
          <w:highlight w:val="none"/>
          <w:lang w:eastAsia="zh-CN"/>
        </w:rPr>
        <w:t>单位</w:t>
      </w:r>
      <w:r>
        <w:rPr>
          <w:rFonts w:hint="default" w:ascii="Times New Roman" w:hAnsi="Times New Roman" w:eastAsia="方正仿宋_GBK" w:cs="Times New Roman"/>
          <w:color w:val="auto"/>
          <w:sz w:val="32"/>
          <w:highlight w:val="none"/>
        </w:rPr>
        <w:t>正常运转的各项商品服务出；项目支出</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万元，主要</w:t>
      </w:r>
      <w:r>
        <w:rPr>
          <w:rFonts w:hint="default" w:ascii="Times New Roman" w:hAnsi="Times New Roman" w:eastAsia="方正仿宋_GBK" w:cs="Times New Roman"/>
          <w:color w:val="auto"/>
          <w:sz w:val="32"/>
          <w:highlight w:val="none"/>
          <w:lang w:eastAsia="zh-CN"/>
        </w:rPr>
        <w:t>原因</w:t>
      </w:r>
      <w:r>
        <w:rPr>
          <w:rFonts w:hint="default" w:ascii="Times New Roman" w:hAnsi="Times New Roman" w:eastAsia="方正仿宋_GBK" w:cs="Times New Roman"/>
          <w:color w:val="auto"/>
          <w:sz w:val="32"/>
          <w:highlight w:val="none"/>
        </w:rPr>
        <w:t>是</w:t>
      </w:r>
      <w:r>
        <w:rPr>
          <w:rFonts w:hint="default" w:ascii="Times New Roman" w:hAnsi="Times New Roman" w:eastAsia="方正仿宋_GBK" w:cs="Times New Roman"/>
          <w:color w:val="auto"/>
          <w:sz w:val="32"/>
          <w:highlight w:val="none"/>
          <w:lang w:val="en-US" w:eastAsia="zh-CN"/>
        </w:rPr>
        <w:t>事业单位没项目收支预算</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年政府性基金预算财政拨款收入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万元，政府性基金预算财政拨款支出</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，重庆市开州区满月镇新时代文明实践服务中心</w:t>
      </w:r>
      <w:r>
        <w:rPr>
          <w:rFonts w:hint="default" w:ascii="Times New Roman" w:hAnsi="Times New Roman" w:eastAsia="方正仿宋_GBK" w:cs="Times New Roman"/>
          <w:color w:val="auto"/>
          <w:sz w:val="32"/>
          <w:highlight w:val="none"/>
          <w:lang w:val="en-US" w:eastAsia="zh-CN"/>
        </w:rPr>
        <w:t>2026年无使用政府性基金预算拨款安排的支出</w:t>
      </w:r>
      <w:r>
        <w:rPr>
          <w:rFonts w:hint="eastAsia" w:eastAsia="方正仿宋_GBK" w:cs="Times New Roman"/>
          <w:color w:val="auto"/>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eastAsia" w:eastAsia="方正楷体_GBK" w:cs="Times New Roman"/>
          <w:color w:val="auto"/>
          <w:sz w:val="32"/>
          <w:szCs w:val="32"/>
          <w:highlight w:val="none"/>
          <w:lang w:eastAsia="zh-CN"/>
        </w:rPr>
        <w:t>（一）</w:t>
      </w:r>
      <w:r>
        <w:rPr>
          <w:rFonts w:hint="eastAsia" w:ascii="方正楷体_GBK" w:hAnsi="方正楷体_GBK" w:eastAsia="方正楷体_GBK" w:cs="方正楷体_GBK"/>
          <w:color w:val="auto"/>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color w:val="auto"/>
          <w:sz w:val="32"/>
          <w:highlight w:val="none"/>
        </w:rPr>
      </w:pPr>
      <w:r>
        <w:rPr>
          <w:rFonts w:hint="eastAsia" w:eastAsia="方正楷体_GBK" w:cs="Times New Roman"/>
          <w:color w:val="auto"/>
          <w:sz w:val="32"/>
          <w:szCs w:val="32"/>
          <w:highlight w:val="none"/>
          <w:lang w:eastAsia="zh-CN"/>
        </w:rPr>
        <w:t>（二）</w:t>
      </w:r>
      <w:r>
        <w:rPr>
          <w:rFonts w:hint="default" w:ascii="方正楷体_GBK" w:hAnsi="方正楷体_GBK" w:eastAsia="方正楷体_GBK" w:cs="方正楷体_GBK"/>
          <w:color w:val="auto"/>
          <w:sz w:val="32"/>
          <w:highlight w:val="none"/>
        </w:rPr>
        <w:t>政府采购情况。</w:t>
      </w:r>
      <w:r>
        <w:rPr>
          <w:rFonts w:hint="default" w:ascii="Times New Roman" w:hAnsi="Times New Roman" w:eastAsia="方正仿宋_GBK" w:cs="Times New Roman"/>
          <w:color w:val="auto"/>
          <w:sz w:val="32"/>
          <w:highlight w:val="none"/>
        </w:rPr>
        <w:t>所属预算单位政府采购预算总额</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万元：政府采购货物预算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万元、政府采购工程预算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万元、政府采购服务预算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万元；其中一般公共预算拨款政府采购</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万元：政府采购货物预算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万元、政府采购工程预算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 xml:space="preserve">万元、政府采购服务预算 </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主要原因是该单位</w:t>
      </w:r>
      <w:r>
        <w:rPr>
          <w:rFonts w:hint="default" w:ascii="Times New Roman" w:hAnsi="Times New Roman" w:eastAsia="方正仿宋_GBK" w:cs="Times New Roman"/>
          <w:color w:val="auto"/>
          <w:sz w:val="32"/>
          <w:szCs w:val="32"/>
          <w:highlight w:val="none"/>
          <w:lang w:eastAsia="zh-CN"/>
        </w:rPr>
        <w:t>属重庆市开州区满月镇人民政府下设二级事业单位，没有单独预算政府</w:t>
      </w:r>
      <w:r>
        <w:rPr>
          <w:rFonts w:hint="default" w:ascii="Times New Roman" w:hAnsi="Times New Roman" w:eastAsia="方正仿宋_GBK" w:cs="Times New Roman"/>
          <w:color w:val="auto"/>
          <w:sz w:val="32"/>
          <w:highlight w:val="none"/>
          <w:lang w:eastAsia="zh-CN"/>
        </w:rPr>
        <w:t>采购</w:t>
      </w:r>
      <w:r>
        <w:rPr>
          <w:rFonts w:hint="default" w:ascii="Times New Roman" w:hAnsi="Times New Roman" w:eastAsia="方正仿宋_GBK" w:cs="Times New Roman"/>
          <w:color w:val="auto"/>
          <w:sz w:val="32"/>
          <w:highlight w:val="none"/>
        </w:rPr>
        <w:t>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（三）</w:t>
      </w:r>
      <w:r>
        <w:rPr>
          <w:rFonts w:hint="default" w:ascii="方正楷体_GBK" w:hAnsi="方正楷体_GBK" w:eastAsia="方正楷体_GBK" w:cs="方正楷体_GBK"/>
          <w:color w:val="auto"/>
          <w:sz w:val="32"/>
          <w:highlight w:val="none"/>
        </w:rPr>
        <w:t>绩效目标设置情况。</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年项目支出均实行了绩效目标管理，涉及一般公共预算当年财政拨款</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（四）</w:t>
      </w:r>
      <w:r>
        <w:rPr>
          <w:rFonts w:hint="default" w:ascii="方正楷体_GBK" w:hAnsi="方正楷体_GBK" w:eastAsia="方正楷体_GBK" w:cs="方正楷体_GBK"/>
          <w:color w:val="auto"/>
          <w:sz w:val="32"/>
          <w:highlight w:val="none"/>
        </w:rPr>
        <w:t>国有资产占有使用情况。</w:t>
      </w:r>
      <w:r>
        <w:rPr>
          <w:rFonts w:hint="default" w:ascii="Times New Roman" w:hAnsi="Times New Roman" w:eastAsia="方正仿宋_GBK" w:cs="Times New Roman"/>
          <w:color w:val="auto"/>
          <w:sz w:val="32"/>
          <w:highlight w:val="none"/>
        </w:rPr>
        <w:t>截</w:t>
      </w:r>
      <w:r>
        <w:rPr>
          <w:rFonts w:hint="default" w:ascii="Times New Roman" w:hAnsi="Times New Roman" w:eastAsia="方正仿宋_GBK" w:cs="Times New Roman"/>
          <w:color w:val="auto"/>
          <w:sz w:val="32"/>
          <w:highlight w:val="none"/>
          <w:lang w:eastAsia="zh-CN"/>
        </w:rPr>
        <w:t>至</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年12月，所属各预算单位共有车辆</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辆，其中一般公务用车</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辆、执勤执法用车</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highlight w:val="yellow"/>
        </w:rPr>
      </w:pPr>
      <w:r>
        <w:rPr>
          <w:rFonts w:hint="default" w:ascii="Times New Roman" w:hAnsi="Times New Roman" w:eastAsia="方正黑体_GBK" w:cs="Times New Roman"/>
          <w:color w:val="auto"/>
          <w:sz w:val="32"/>
          <w:highlight w:val="none"/>
        </w:rPr>
        <w:t>六、专业性名词解释</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（一）财政拨款收入：</w:t>
      </w:r>
      <w:r>
        <w:rPr>
          <w:rFonts w:hint="default" w:ascii="Times New Roman" w:hAnsi="Times New Roman" w:eastAsia="方正仿宋_GBK" w:cs="Times New Roman"/>
          <w:color w:val="auto"/>
          <w:sz w:val="32"/>
          <w:szCs w:val="32"/>
          <w:highlight w:val="none"/>
        </w:rPr>
        <w:t>指本年度从本级财政</w:t>
      </w:r>
      <w:r>
        <w:rPr>
          <w:rFonts w:hint="eastAsia" w:ascii="Times New Roman" w:hAnsi="Times New Roman" w:eastAsia="方正仿宋_GBK" w:cs="Times New Roman"/>
          <w:color w:val="auto"/>
          <w:sz w:val="32"/>
          <w:szCs w:val="32"/>
          <w:highlight w:val="none"/>
          <w:lang w:eastAsia="zh-CN"/>
        </w:rPr>
        <w:t>单位</w:t>
      </w:r>
      <w:r>
        <w:rPr>
          <w:rFonts w:hint="default" w:ascii="Times New Roman" w:hAnsi="Times New Roman" w:eastAsia="方正仿宋_GBK" w:cs="Times New Roman"/>
          <w:color w:val="auto"/>
          <w:sz w:val="32"/>
          <w:szCs w:val="32"/>
          <w:highlight w:val="none"/>
        </w:rPr>
        <w:t>取得的财政拨款，包括一般公共预算财政拨款和政府性基金预算财政拨款。</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（二）其他收入：</w:t>
      </w:r>
      <w:r>
        <w:rPr>
          <w:rFonts w:hint="default" w:ascii="Times New Roman" w:hAnsi="Times New Roman" w:eastAsia="方正仿宋_GBK" w:cs="Times New Roman"/>
          <w:color w:val="auto"/>
          <w:sz w:val="32"/>
          <w:szCs w:val="32"/>
          <w:highlight w:val="none"/>
        </w:rPr>
        <w:t>指单位取得的除“财政拨款收入”、“事业收入”、“经营收入”等以外的收入。</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（三）基本支出：</w:t>
      </w:r>
      <w:r>
        <w:rPr>
          <w:rFonts w:hint="default" w:ascii="Times New Roman" w:hAnsi="Times New Roman" w:eastAsia="方正仿宋_GBK" w:cs="Times New Roman"/>
          <w:color w:val="auto"/>
          <w:sz w:val="32"/>
          <w:szCs w:val="32"/>
          <w:highlight w:val="none"/>
        </w:rPr>
        <w:t>指为保障机构正常运转、完成日常工作任务而发生的人员经费和公用经费。</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（四）项目支出：</w:t>
      </w:r>
      <w:r>
        <w:rPr>
          <w:rFonts w:hint="default" w:ascii="Times New Roman" w:hAnsi="Times New Roman" w:eastAsia="方正仿宋_GBK" w:cs="Times New Roman"/>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（五）“三公”经费：</w:t>
      </w:r>
      <w:r>
        <w:rPr>
          <w:rFonts w:hint="default" w:ascii="Times New Roman" w:hAnsi="Times New Roman" w:eastAsia="方正仿宋_GBK" w:cs="Times New Roman"/>
          <w:color w:val="auto"/>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p>
    <w:p>
      <w:pP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第二部分：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eastAsia="zh-CN"/>
        </w:rPr>
        <w:t>单位</w:t>
      </w:r>
      <w:r>
        <w:rPr>
          <w:rFonts w:hint="default" w:ascii="Times New Roman" w:hAnsi="Times New Roman" w:eastAsia="方正小标宋_GBK" w:cs="Times New Roman"/>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highlight w:val="none"/>
          <w:lang w:eastAsia="zh-CN"/>
        </w:rPr>
      </w:pPr>
      <w:r>
        <w:rPr>
          <w:rFonts w:hint="default" w:ascii="Times New Roman" w:hAnsi="Times New Roman" w:eastAsia="方正仿宋_GBK" w:cs="Times New Roman"/>
          <w:b w:val="0"/>
          <w:bCs w:val="0"/>
          <w:color w:val="auto"/>
          <w:sz w:val="32"/>
          <w:highlight w:val="none"/>
          <w:lang w:val="en-US" w:eastAsia="zh-CN"/>
        </w:rPr>
        <w:t>2026</w:t>
      </w:r>
      <w:r>
        <w:rPr>
          <w:rFonts w:hint="default" w:ascii="Times New Roman" w:hAnsi="Times New Roman" w:eastAsia="方正仿宋_GBK" w:cs="Times New Roman"/>
          <w:b w:val="0"/>
          <w:bCs w:val="0"/>
          <w:color w:val="auto"/>
          <w:sz w:val="32"/>
          <w:highlight w:val="none"/>
        </w:rPr>
        <w:t>年</w:t>
      </w:r>
      <w:r>
        <w:rPr>
          <w:rFonts w:hint="eastAsia"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预算公开报表（详见附表</w:t>
      </w:r>
      <w:r>
        <w:rPr>
          <w:rFonts w:hint="default" w:ascii="Times New Roman" w:hAnsi="Times New Roman" w:eastAsia="方正仿宋_GBK" w:cs="Times New Roman"/>
          <w:b w:val="0"/>
          <w:bCs w:val="0"/>
          <w:color w:val="auto"/>
          <w:sz w:val="32"/>
          <w:highlight w:val="none"/>
          <w:lang w:val="en-US" w:eastAsia="zh-CN"/>
        </w:rPr>
        <w:t>重庆市开州区满月镇新时代文明实践服务中心2026</w:t>
      </w:r>
      <w:r>
        <w:rPr>
          <w:rFonts w:hint="default" w:ascii="Times New Roman" w:hAnsi="Times New Roman" w:eastAsia="方正仿宋_GBK" w:cs="Times New Roman"/>
          <w:b w:val="0"/>
          <w:bCs w:val="0"/>
          <w:color w:val="auto"/>
          <w:sz w:val="32"/>
          <w:highlight w:val="none"/>
        </w:rPr>
        <w:t>年</w:t>
      </w:r>
      <w:r>
        <w:rPr>
          <w:rFonts w:hint="default" w:ascii="Times New Roman" w:hAnsi="Times New Roman"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预算公开报表</w:t>
      </w:r>
      <w:r>
        <w:rPr>
          <w:rFonts w:hint="default" w:ascii="Times New Roman" w:hAnsi="Times New Roman" w:eastAsia="方正仿宋_GBK" w:cs="Times New Roman"/>
          <w:b w:val="0"/>
          <w:bCs w:val="0"/>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highlight w:val="none"/>
        </w:rPr>
      </w:pPr>
      <w:r>
        <w:rPr>
          <w:rFonts w:hint="eastAsia"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预算公开联系人：</w:t>
      </w:r>
      <w:r>
        <w:rPr>
          <w:rFonts w:hint="default" w:ascii="Times New Roman" w:hAnsi="Times New Roman" w:eastAsia="方正仿宋_GBK" w:cs="Times New Roman"/>
          <w:b w:val="0"/>
          <w:bCs w:val="0"/>
          <w:color w:val="auto"/>
          <w:sz w:val="32"/>
          <w:highlight w:val="none"/>
          <w:lang w:eastAsia="zh-CN"/>
        </w:rPr>
        <w:t>徐相梅</w:t>
      </w:r>
      <w:r>
        <w:rPr>
          <w:rFonts w:hint="default" w:ascii="Times New Roman" w:hAnsi="Times New Roman" w:eastAsia="方正仿宋_GBK" w:cs="Times New Roman"/>
          <w:b w:val="0"/>
          <w:bCs w:val="0"/>
          <w:color w:val="auto"/>
          <w:sz w:val="32"/>
          <w:highlight w:val="none"/>
        </w:rPr>
        <w:t xml:space="preserve">  联系方式：023-</w:t>
      </w:r>
      <w:r>
        <w:rPr>
          <w:rFonts w:hint="default" w:ascii="Times New Roman" w:hAnsi="Times New Roman" w:eastAsia="方正仿宋_GBK" w:cs="Times New Roman"/>
          <w:b w:val="0"/>
          <w:bCs w:val="0"/>
          <w:color w:val="auto"/>
          <w:sz w:val="32"/>
          <w:highlight w:val="none"/>
          <w:lang w:val="en-US" w:eastAsia="zh-CN"/>
        </w:rPr>
        <w:t>52445525</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年3月</w:t>
      </w: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日</w:t>
      </w:r>
      <w:r>
        <w:rPr>
          <w:rFonts w:hint="eastAsia" w:eastAsia="方正仿宋_GBK" w:cs="Times New Roman"/>
          <w:color w:val="auto"/>
          <w:sz w:val="32"/>
          <w:szCs w:val="32"/>
          <w:highlight w:val="none"/>
          <w:lang w:val="en-US" w:eastAsia="zh-CN"/>
        </w:rPr>
        <w:t xml:space="preserve">        </w:t>
      </w:r>
    </w:p>
    <w:p>
      <w:pPr>
        <w:spacing w:line="540" w:lineRule="exact"/>
        <w:rPr>
          <w:rFonts w:eastAsia="方正仿宋_GBK"/>
          <w:sz w:val="28"/>
          <w:szCs w:val="28"/>
        </w:rPr>
      </w:pPr>
    </w:p>
    <w:p>
      <w:pPr>
        <w:pStyle w:val="2"/>
        <w:rPr>
          <w:rFonts w:eastAsia="方正仿宋_GBK"/>
          <w:sz w:val="28"/>
          <w:szCs w:val="28"/>
        </w:rPr>
      </w:pPr>
    </w:p>
    <w:p>
      <w:pPr>
        <w:pStyle w:val="3"/>
        <w:rPr>
          <w:rFonts w:eastAsia="方正仿宋_GBK"/>
          <w:sz w:val="28"/>
          <w:szCs w:val="28"/>
        </w:rPr>
      </w:pPr>
    </w:p>
    <w:p>
      <w:pPr>
        <w:rPr>
          <w:rFonts w:eastAsia="方正仿宋_GBK"/>
          <w:sz w:val="28"/>
          <w:szCs w:val="28"/>
        </w:rPr>
      </w:pPr>
      <w:bookmarkStart w:id="1" w:name="_GoBack"/>
      <w:bookmarkEnd w:id="1"/>
    </w:p>
    <w:p>
      <w:pPr>
        <w:pStyle w:val="2"/>
        <w:rPr>
          <w:rFonts w:eastAsia="方正仿宋_GBK"/>
          <w:sz w:val="28"/>
          <w:szCs w:val="28"/>
        </w:rPr>
      </w:pPr>
    </w:p>
    <w:p>
      <w:pPr>
        <w:pStyle w:val="3"/>
        <w:rPr>
          <w:rFonts w:eastAsia="方正仿宋_GBK"/>
          <w:sz w:val="28"/>
          <w:szCs w:val="28"/>
        </w:rPr>
      </w:pPr>
    </w:p>
    <w:p>
      <w:pPr>
        <w:rPr>
          <w:rFonts w:eastAsia="方正仿宋_GBK"/>
          <w:sz w:val="28"/>
          <w:szCs w:val="28"/>
        </w:rPr>
      </w:pPr>
    </w:p>
    <w:p>
      <w:pPr>
        <w:pStyle w:val="2"/>
        <w:rPr>
          <w:rFonts w:eastAsia="方正仿宋_GBK"/>
          <w:sz w:val="28"/>
          <w:szCs w:val="28"/>
        </w:rPr>
      </w:pPr>
    </w:p>
    <w:p>
      <w:pPr>
        <w:pStyle w:val="3"/>
      </w:pPr>
    </w:p>
    <w:p>
      <w:pPr>
        <w:pStyle w:val="2"/>
        <w:rPr>
          <w:rFonts w:eastAsia="方正仿宋_GBK"/>
          <w:sz w:val="28"/>
          <w:szCs w:val="28"/>
        </w:rPr>
      </w:pPr>
    </w:p>
    <w:p/>
    <w:p>
      <w:pPr>
        <w:spacing w:line="540" w:lineRule="exact"/>
        <w:rPr>
          <w:rFonts w:hint="default" w:ascii="Times New Roman" w:hAnsi="Times New Roman" w:cs="Times New Roman"/>
          <w:color w:val="auto"/>
          <w:highlight w:val="none"/>
        </w:rPr>
      </w:pPr>
      <w:r>
        <w:rPr>
          <w:rFonts w:eastAsia="方正仿宋_GBK"/>
          <w:sz w:val="28"/>
          <w:szCs w:val="28"/>
        </w:rPr>
        <w:t xml:space="preserve"> </w: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551805" cy="254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51805" cy="25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2pt;height:0.2pt;width:437.15pt;z-index:251662336;mso-width-relative:page;mso-height-relative:page;" filled="f" stroked="t" coordsize="21600,21600" o:gfxdata="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P2Mx3VAAAABgEAAA8AAAAAAAAAAQAgAAAAIgAAAGRycy9kb3ducmV2LnhtbFBLAQIUABQA&#10;AAAIAIdO4kAX2wsB8wEAAOkDAAAOAAAAAAAAAAEAIAAAACQ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46355</wp:posOffset>
                </wp:positionV>
                <wp:extent cx="553275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532755"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3.65pt;height:0.1pt;width:435.65pt;z-index:251661312;mso-width-relative:page;mso-height-relative:page;" filled="f" stroked="t" coordsize="21600,21600" o:gfxdata="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cK8r0wAAAAQBAAAPAAAAAAAAAAEAIAAAACIAAABkcnMvZG93bnJldi54bWxQ&#10;SwECFAAUAAAACACHTuJADs0lT/wBAADzAwAADgAAAAAAAAABACAAAAAiAQAAZHJzL2Uyb0RvYy54&#10;bWxQSwUGAAAAAAYABgBZAQAAkAUAAAAA&#10;">
                <v:fill on="f" focussize="0,0"/>
                <v:stroke color="#000000" joinstyle="round"/>
                <v:imagedata o:title=""/>
                <o:lock v:ext="edit" aspectratio="f"/>
              </v:line>
            </w:pict>
          </mc:Fallback>
        </mc:AlternateContent>
      </w:r>
      <w:r>
        <w:rPr>
          <w:rFonts w:eastAsia="方正仿宋_GBK"/>
          <w:sz w:val="28"/>
          <w:szCs w:val="28"/>
        </w:rPr>
        <w:t>重庆市开州区</w:t>
      </w:r>
      <w:r>
        <w:rPr>
          <w:rFonts w:hint="eastAsia" w:eastAsia="方正仿宋_GBK"/>
          <w:sz w:val="28"/>
          <w:szCs w:val="28"/>
          <w:lang w:eastAsia="zh-CN"/>
        </w:rPr>
        <w:t>满月镇基层治理综合指挥室</w:t>
      </w:r>
      <w:r>
        <w:rPr>
          <w:rFonts w:eastAsia="方正仿宋_GBK"/>
          <w:sz w:val="28"/>
          <w:szCs w:val="28"/>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hint="eastAsia" w:cs="Times New Roman"/>
          <w:sz w:val="28"/>
          <w:szCs w:val="28"/>
          <w:lang w:val="en-US" w:eastAsia="zh-CN"/>
        </w:rPr>
        <w:t>2</w:t>
      </w:r>
      <w:r>
        <w:rPr>
          <w:rFonts w:eastAsia="方正仿宋_GBK"/>
          <w:sz w:val="28"/>
          <w:szCs w:val="28"/>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27F4511"/>
    <w:rsid w:val="034A4AC7"/>
    <w:rsid w:val="05AF067D"/>
    <w:rsid w:val="06E375A3"/>
    <w:rsid w:val="0AE65354"/>
    <w:rsid w:val="0D7E6449"/>
    <w:rsid w:val="0D8721C8"/>
    <w:rsid w:val="10D83330"/>
    <w:rsid w:val="13DD63A2"/>
    <w:rsid w:val="18013D27"/>
    <w:rsid w:val="18116C5C"/>
    <w:rsid w:val="18FA6262"/>
    <w:rsid w:val="1A5C56E8"/>
    <w:rsid w:val="1C6215CB"/>
    <w:rsid w:val="1D0571C8"/>
    <w:rsid w:val="20DC2729"/>
    <w:rsid w:val="214818A4"/>
    <w:rsid w:val="25DD5301"/>
    <w:rsid w:val="285615E1"/>
    <w:rsid w:val="2997417F"/>
    <w:rsid w:val="2A614C7D"/>
    <w:rsid w:val="2C65470F"/>
    <w:rsid w:val="31722759"/>
    <w:rsid w:val="33B92C4F"/>
    <w:rsid w:val="379B7FC0"/>
    <w:rsid w:val="37DC544A"/>
    <w:rsid w:val="39CF2D1E"/>
    <w:rsid w:val="3AFE1E75"/>
    <w:rsid w:val="419E24A4"/>
    <w:rsid w:val="434A52EA"/>
    <w:rsid w:val="435707E6"/>
    <w:rsid w:val="454A70CD"/>
    <w:rsid w:val="47120F54"/>
    <w:rsid w:val="4B026369"/>
    <w:rsid w:val="4D7C23AF"/>
    <w:rsid w:val="527F0546"/>
    <w:rsid w:val="53696928"/>
    <w:rsid w:val="576C3ECF"/>
    <w:rsid w:val="5F69347A"/>
    <w:rsid w:val="6426742A"/>
    <w:rsid w:val="662651A7"/>
    <w:rsid w:val="6908232A"/>
    <w:rsid w:val="6AC4657C"/>
    <w:rsid w:val="6C9E0955"/>
    <w:rsid w:val="6EA96DF8"/>
    <w:rsid w:val="6FB21AA4"/>
    <w:rsid w:val="7126012D"/>
    <w:rsid w:val="7AC3185D"/>
    <w:rsid w:val="7EAD7071"/>
    <w:rsid w:val="F5DC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r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 w:type="paragraph" w:styleId="4">
    <w:name w:val="Normal Indent"/>
    <w:basedOn w:val="1"/>
    <w:unhideWhenUsed/>
    <w:qFormat/>
    <w:uiPriority w:val="99"/>
    <w:pPr>
      <w:ind w:firstLine="420" w:firstLineChars="2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2026-02-05T14:42:00Z</dcterms:created>
  <dc:creator>Administrator</dc:creator>
  <cp:lastModifiedBy>冉浩田</cp:lastModifiedBy>
  <cp:lastPrinted>2026-02-24T16:35:00Z</cp:lastPrinted>
  <dcterms:modified xsi:type="dcterms:W3CDTF">2026-03-12T09:43:48Z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3E265A8A5A6F434CB96211661E8C84F5_12</vt:lpwstr>
  </property>
</Properties>
</file>