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20" w:lineRule="exact"/>
        <w:ind w:firstLine="0" w:firstLineChars="0"/>
        <w:rPr>
          <w:rFonts w:ascii="Times New Roman" w:eastAsia="方正仿宋_GBK"/>
          <w:szCs w:val="32"/>
          <w:highlight w:val="none"/>
        </w:rPr>
      </w:pPr>
    </w:p>
    <w:p>
      <w:pPr>
        <w:pStyle w:val="2"/>
        <w:spacing w:line="620" w:lineRule="exact"/>
        <w:ind w:firstLine="0" w:firstLineChars="0"/>
        <w:rPr>
          <w:rFonts w:ascii="Times New Roman" w:eastAsia="方正仿宋_GBK"/>
          <w:szCs w:val="32"/>
          <w:highlight w:val="none"/>
        </w:rPr>
      </w:pPr>
    </w:p>
    <w:p>
      <w:pPr>
        <w:jc w:val="center"/>
        <w:rPr>
          <w:rFonts w:eastAsia="黑体"/>
          <w:sz w:val="36"/>
          <w:highlight w:val="none"/>
        </w:rPr>
      </w:pPr>
    </w:p>
    <w:p>
      <w:pPr>
        <w:spacing w:line="400" w:lineRule="exact"/>
        <w:jc w:val="center"/>
        <w:rPr>
          <w:rFonts w:eastAsia="黑体"/>
          <w:sz w:val="36"/>
          <w:highlight w:val="none"/>
        </w:rPr>
      </w:pPr>
    </w:p>
    <w:p>
      <w:pPr>
        <w:spacing w:line="400" w:lineRule="exact"/>
        <w:jc w:val="center"/>
        <w:rPr>
          <w:rFonts w:eastAsia="黑体"/>
          <w:sz w:val="36"/>
          <w:highlight w:val="none"/>
        </w:rPr>
      </w:pPr>
      <w:r>
        <w:rPr>
          <w:rFonts w:hint="eastAsia" w:eastAsia="方正大标宋简体"/>
          <w:w w:val="33"/>
          <w:sz w:val="150"/>
          <w:szCs w:val="150"/>
        </w:rPr>
        <w:pict>
          <v:shape id="_x0000_s1026" o:spid="_x0000_s1026" o:spt="136" type="#_x0000_t136" style="position:absolute;left:0pt;margin-left:0pt;margin-top:-41.25pt;height:56.6pt;width:429.3pt;z-index:-251655168;mso-width-relative:page;mso-height-relative:page;" fillcolor="#FF0000" filled="t" stroked="t" coordsize="21600,21600" adj="10800">
            <v:path/>
            <v:fill on="t" color2="#FFFFFF" focussize="0,0"/>
            <v:stroke weight="0pt" color="#FF0000"/>
            <v:imagedata o:title=""/>
            <o:lock v:ext="edit" aspectratio="f"/>
            <v:textpath on="t" fitshape="t" fitpath="t" trim="t" xscale="f" string="重庆市开州区九龙山镇人民政府文件" style="font-family:方正小标宋_GBK;font-size:32pt;v-rotate-letters:f;v-same-letter-heights:f;v-text-align:center;"/>
          </v:shape>
        </w:pict>
      </w:r>
    </w:p>
    <w:p>
      <w:pPr>
        <w:spacing w:line="100" w:lineRule="exact"/>
        <w:jc w:val="center"/>
        <w:rPr>
          <w:rFonts w:eastAsia="黑体"/>
          <w:sz w:val="36"/>
          <w:highlight w:val="none"/>
        </w:rPr>
      </w:pPr>
    </w:p>
    <w:p>
      <w:pPr>
        <w:spacing w:line="600" w:lineRule="exact"/>
        <w:jc w:val="center"/>
        <w:rPr>
          <w:rFonts w:hint="default" w:ascii="Times New Roman" w:hAnsi="Times New Roman" w:eastAsia="方正仿宋_GBK" w:cs="Times New Roman"/>
          <w:sz w:val="32"/>
          <w:highlight w:val="none"/>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val="en-US" w:eastAsia="zh-CN"/>
        </w:rPr>
        <w:t>九府</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val="en-US" w:eastAsia="zh-CN"/>
        </w:rPr>
        <w:t>邓雄飞</w:t>
      </w:r>
    </w:p>
    <w:p>
      <w:pPr>
        <w:spacing w:line="300" w:lineRule="exact"/>
        <w:rPr>
          <w:rFonts w:eastAsia="方正小标宋简体"/>
          <w:sz w:val="42"/>
          <w:szCs w:val="44"/>
          <w:highlight w:val="none"/>
          <w:u w:val="thick" w:color="FF0000"/>
        </w:rPr>
      </w:pPr>
      <w:r>
        <w:rPr>
          <w:rFonts w:eastAsia="方正小标宋简体"/>
          <w:sz w:val="42"/>
          <w:szCs w:val="44"/>
          <w:highlight w:val="none"/>
          <w:u w:val="thick" w:color="FF0000"/>
        </w:rPr>
        <w:t xml:space="preserve">                                             </w:t>
      </w:r>
    </w:p>
    <w:p>
      <w:pPr>
        <w:spacing w:line="600" w:lineRule="exact"/>
        <w:jc w:val="center"/>
        <w:rPr>
          <w:rFonts w:eastAsia="方正小标宋简体"/>
          <w:sz w:val="44"/>
          <w:szCs w:val="44"/>
          <w:highlight w:val="none"/>
        </w:rPr>
      </w:pPr>
    </w:p>
    <w:p>
      <w:pPr>
        <w:rPr>
          <w:highlight w:val="none"/>
        </w:rPr>
      </w:pPr>
    </w:p>
    <w:p>
      <w:pPr>
        <w:pStyle w:val="2"/>
        <w:spacing w:line="620" w:lineRule="exact"/>
        <w:ind w:firstLine="0" w:firstLineChars="0"/>
        <w:jc w:val="center"/>
        <w:rPr>
          <w:rFonts w:hint="eastAsia" w:ascii="Times New Roman" w:hAnsi="Times New Roman" w:eastAsia="方正小标宋_GBK" w:cs="Times New Roman"/>
          <w:color w:val="000000"/>
          <w:sz w:val="44"/>
          <w:szCs w:val="44"/>
          <w:highlight w:val="none"/>
          <w:lang w:val="en-US" w:eastAsia="zh-CN"/>
        </w:rPr>
      </w:pPr>
      <w:r>
        <w:rPr>
          <w:rFonts w:hint="default" w:ascii="Times New Roman" w:hAnsi="Times New Roman" w:eastAsia="方正小标宋_GBK" w:cs="Times New Roman"/>
          <w:color w:val="000000"/>
          <w:sz w:val="44"/>
          <w:szCs w:val="44"/>
          <w:highlight w:val="none"/>
        </w:rPr>
        <w:t>重庆市开州区九龙山镇</w:t>
      </w:r>
      <w:r>
        <w:rPr>
          <w:rFonts w:hint="eastAsia" w:ascii="Times New Roman" w:hAnsi="Times New Roman" w:eastAsia="方正小标宋_GBK" w:cs="Times New Roman"/>
          <w:color w:val="000000"/>
          <w:sz w:val="44"/>
          <w:szCs w:val="44"/>
          <w:highlight w:val="none"/>
          <w:lang w:val="en-US" w:eastAsia="zh-CN"/>
        </w:rPr>
        <w:t>人民政府</w:t>
      </w:r>
    </w:p>
    <w:p>
      <w:pPr>
        <w:pStyle w:val="2"/>
        <w:spacing w:line="620" w:lineRule="exact"/>
        <w:ind w:firstLine="0" w:firstLineChars="0"/>
        <w:jc w:val="center"/>
        <w:rPr>
          <w:rFonts w:hint="default" w:ascii="Times New Roman" w:hAnsi="Times New Roman" w:eastAsia="方正仿宋_GBK" w:cs="Times New Roman"/>
          <w:sz w:val="32"/>
          <w:szCs w:val="32"/>
          <w:highlight w:val="none"/>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color w:val="000000"/>
          <w:sz w:val="44"/>
          <w:szCs w:val="44"/>
          <w:highlight w:val="none"/>
        </w:rPr>
        <w:t>九龙山镇新时代文明实践</w:t>
      </w:r>
      <w:r>
        <w:rPr>
          <w:rFonts w:hint="eastAsia" w:ascii="Times New Roman" w:hAnsi="Times New Roman" w:eastAsia="方正小标宋_GBK" w:cs="Times New Roman"/>
          <w:color w:val="000000"/>
          <w:sz w:val="44"/>
          <w:szCs w:val="44"/>
          <w:highlight w:val="none"/>
          <w:lang w:val="en-US" w:eastAsia="zh-CN"/>
        </w:rPr>
        <w:t>服务</w:t>
      </w:r>
      <w:r>
        <w:rPr>
          <w:rFonts w:hint="default" w:ascii="Times New Roman" w:hAnsi="Times New Roman" w:eastAsia="方正小标宋_GBK" w:cs="Times New Roman"/>
          <w:color w:val="000000"/>
          <w:sz w:val="44"/>
          <w:szCs w:val="44"/>
          <w:highlight w:val="none"/>
        </w:rPr>
        <w:t>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年部门预算情况公开</w:t>
      </w:r>
      <w:r>
        <w:rPr>
          <w:rFonts w:hint="default" w:ascii="Times New Roman" w:hAnsi="Times New Roman" w:eastAsia="方正小标宋_GBK" w:cs="Times New Roman"/>
          <w:color w:val="auto"/>
          <w:sz w:val="44"/>
          <w:szCs w:val="44"/>
          <w:highlight w:val="none"/>
        </w:rPr>
        <w:t>的</w:t>
      </w:r>
      <w:r>
        <w:rPr>
          <w:rFonts w:hint="default" w:ascii="Times New Roman" w:hAnsi="Times New Roman" w:eastAsia="方正小标宋_GBK" w:cs="Times New Roman"/>
          <w:color w:val="auto"/>
          <w:sz w:val="44"/>
          <w:szCs w:val="44"/>
          <w:highlight w:val="none"/>
          <w:lang w:eastAsia="zh-CN"/>
        </w:rPr>
        <w:t>公示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按照有关财政预算公开的部署和要求，依据《中华人民共和国政府信息公开条例》（国务院令第492号）和重庆市开州区财政局《关于批复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年部门预算的通知》重庆市开州区</w:t>
      </w:r>
      <w:r>
        <w:rPr>
          <w:rFonts w:hint="eastAsia" w:ascii="Times New Roman" w:hAnsi="Times New Roman" w:eastAsia="方正仿宋_GBK" w:cs="Times New Roman"/>
          <w:sz w:val="32"/>
          <w:szCs w:val="32"/>
          <w:highlight w:val="none"/>
          <w:lang w:val="en-US" w:eastAsia="zh-CN"/>
        </w:rPr>
        <w:t>九龙山镇人民政府</w:t>
      </w:r>
      <w:r>
        <w:rPr>
          <w:rFonts w:hint="default" w:ascii="Times New Roman" w:hAnsi="Times New Roman" w:eastAsia="方正仿宋_GBK" w:cs="Times New Roman"/>
          <w:sz w:val="32"/>
          <w:szCs w:val="32"/>
          <w:highlight w:val="none"/>
        </w:rPr>
        <w:t>《关于批复</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年部门预算的通知》（开</w:t>
      </w:r>
      <w:r>
        <w:rPr>
          <w:rFonts w:hint="eastAsia" w:ascii="Times New Roman" w:hAnsi="Times New Roman" w:eastAsia="方正仿宋_GBK" w:cs="Times New Roman"/>
          <w:sz w:val="32"/>
          <w:szCs w:val="32"/>
          <w:highlight w:val="none"/>
          <w:lang w:val="en-US" w:eastAsia="zh-CN"/>
        </w:rPr>
        <w:t>州九府发</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号）</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现将重庆市开州区九龙山镇新时代文明实践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年部门预算批复情况公开如下：</w:t>
      </w: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黑体_GBK" w:cs="Times New Roman"/>
          <w:sz w:val="32"/>
          <w:szCs w:val="32"/>
          <w:highlight w:val="none"/>
        </w:rPr>
      </w:pPr>
    </w:p>
    <w:p>
      <w:pPr>
        <w:jc w:val="center"/>
        <w:rPr>
          <w:rFonts w:hint="default" w:ascii="Times New Roman" w:hAnsi="Times New Roman" w:eastAsia="方正小标宋_GBK" w:cs="Times New Roman"/>
          <w:sz w:val="44"/>
          <w:szCs w:val="44"/>
          <w:highlight w:val="none"/>
        </w:rPr>
      </w:pPr>
    </w:p>
    <w:p>
      <w:pPr>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目    录</w:t>
      </w:r>
    </w:p>
    <w:p>
      <w:pPr>
        <w:rPr>
          <w:rFonts w:hint="default" w:ascii="Times New Roman" w:hAnsi="Times New Roman" w:cs="Times New Roman"/>
          <w:highlight w:val="none"/>
        </w:rPr>
      </w:pPr>
    </w:p>
    <w:p>
      <w:pPr>
        <w:jc w:val="center"/>
        <w:rPr>
          <w:rFonts w:hint="default" w:ascii="Times New Roman" w:hAnsi="Times New Roman" w:eastAsia="方正楷体_GBK" w:cs="Times New Roman"/>
          <w:sz w:val="32"/>
          <w:szCs w:val="32"/>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年部门预算情况说明</w:t>
      </w:r>
    </w:p>
    <w:p>
      <w:pPr>
        <w:rPr>
          <w:rFonts w:hint="default" w:ascii="Times New Roman" w:hAnsi="Times New Roman" w:cs="Times New Roman"/>
          <w:highlight w:val="none"/>
        </w:rPr>
      </w:pP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一、单位基本情况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二、部门收支总体情况</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三、部门预算情况说明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spacing w:line="60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rPr>
          <w:rFonts w:hint="default" w:ascii="Times New Roman" w:hAnsi="Times New Roman" w:eastAsia="方正仿宋_GBK" w:cs="Times New Roman"/>
          <w:sz w:val="32"/>
          <w:szCs w:val="32"/>
          <w:highlight w:val="none"/>
        </w:rPr>
      </w:pPr>
    </w:p>
    <w:p>
      <w:pPr>
        <w:jc w:val="center"/>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年部门预算公开报表</w:t>
      </w:r>
    </w:p>
    <w:p>
      <w:pPr>
        <w:rPr>
          <w:rFonts w:hint="default" w:ascii="Times New Roman" w:hAnsi="Times New Roman" w:cs="Times New Roman"/>
          <w:highlight w:val="none"/>
        </w:rPr>
      </w:pP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中心收入总表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中心本年支出预算总表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中心财政拨款收支预算总表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中心本年一般公共预算支出预算表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中心一般公共预算基本支出预算表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中心一般公共预算“三公”经费支出预算表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中心政府性基金预算支出预算表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中心国有资本经营预算支出预算表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表10、重庆市开州区九龙山镇新时代文明实践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中心项目支出表</w:t>
      </w:r>
    </w:p>
    <w:p>
      <w:pP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表11、202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中心项目绩效目标表</w:t>
      </w:r>
    </w:p>
    <w:p>
      <w:pPr>
        <w:rPr>
          <w:rFonts w:hint="default" w:ascii="Times New Roman" w:hAnsi="Times New Roman" w:cs="Times New Roman"/>
          <w:highlight w:val="none"/>
        </w:rPr>
      </w:pPr>
      <w:r>
        <w:rPr>
          <w:rFonts w:hint="default" w:ascii="Times New Roman" w:hAnsi="Times New Roman" w:eastAsia="方正仿宋_GBK" w:cs="Times New Roman"/>
          <w:sz w:val="32"/>
          <w:szCs w:val="32"/>
          <w:highlight w:val="none"/>
        </w:rPr>
        <w:t>表12、202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default" w:ascii="Times New Roman" w:hAnsi="Times New Roman" w:eastAsia="方正仿宋_GBK" w:cs="Times New Roman"/>
          <w:sz w:val="32"/>
          <w:szCs w:val="32"/>
          <w:highlight w:val="none"/>
        </w:rPr>
        <w:t>中心部门整体支出绩效目标表</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none"/>
        </w:rPr>
      </w:pPr>
    </w:p>
    <w:p>
      <w:pPr>
        <w:spacing w:line="600"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年部门预算情况说明</w:t>
      </w:r>
    </w:p>
    <w:p>
      <w:pPr>
        <w:spacing w:line="600" w:lineRule="exact"/>
        <w:ind w:firstLine="880" w:firstLineChars="200"/>
        <w:jc w:val="center"/>
        <w:rPr>
          <w:rFonts w:hint="default" w:ascii="Times New Roman" w:hAnsi="Times New Roman" w:eastAsia="华文中宋" w:cs="Times New Roman"/>
          <w:sz w:val="44"/>
          <w:szCs w:val="44"/>
          <w:highlight w:val="none"/>
        </w:rPr>
      </w:pP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rPr>
        <w:t>新时代文明实践服务中心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职能职责</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承接党的建设办公室辅助性、事务性工作。负责学习宣传习近平新时代中国特色社会主义思想，宣传宣讲党的政策、弘扬社会主义核心价值观；负责文明培育、文明实践、文明创建工作，丰富活跃文化生活、持续深化移风易俗；负责志愿服务的组织指导、开展实施关爱帮扶等工作；负责文化、体育、文物保护、广播电视等领域的事务性工作</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二、部门收支总体情况</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年年初预算数78.7万元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w:t>
      </w:r>
      <w:r>
        <w:rPr>
          <w:rFonts w:hint="default" w:ascii="Times New Roman" w:hAnsi="Times New Roman" w:eastAsia="方正仿宋_GBK" w:cs="Times New Roman"/>
          <w:sz w:val="32"/>
          <w:highlight w:val="none"/>
          <w:lang w:eastAsia="zh-CN"/>
        </w:rPr>
        <w:t>收入</w:t>
      </w:r>
      <w:r>
        <w:rPr>
          <w:rFonts w:hint="default" w:ascii="Times New Roman" w:hAnsi="Times New Roman" w:eastAsia="方正仿宋_GBK" w:cs="Times New Roman"/>
          <w:sz w:val="32"/>
          <w:highlight w:val="none"/>
        </w:rPr>
        <w:t>78.7万元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万元，国有资本经营预算</w:t>
      </w:r>
      <w:r>
        <w:rPr>
          <w:rFonts w:hint="default" w:ascii="Times New Roman" w:hAnsi="Times New Roman" w:eastAsia="方正仿宋_GBK" w:cs="Times New Roman"/>
          <w:sz w:val="32"/>
          <w:highlight w:val="none"/>
          <w:lang w:eastAsia="zh-CN"/>
        </w:rPr>
        <w:t>拨款</w:t>
      </w:r>
      <w:r>
        <w:rPr>
          <w:rFonts w:hint="default" w:ascii="Times New Roman" w:hAnsi="Times New Roman" w:eastAsia="方正仿宋_GBK" w:cs="Times New Roman"/>
          <w:sz w:val="32"/>
          <w:highlight w:val="none"/>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万元，事业单位经营收入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万元，其他收入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年增加78.7万元，主要是</w:t>
      </w:r>
      <w:r>
        <w:rPr>
          <w:rFonts w:hint="default" w:ascii="Times New Roman" w:hAnsi="Times New Roman" w:eastAsia="方正仿宋_GBK" w:cs="Times New Roman"/>
          <w:sz w:val="32"/>
          <w:szCs w:val="32"/>
          <w:highlight w:val="none"/>
        </w:rPr>
        <w:t>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eastAsia" w:ascii="Times New Roman" w:hAnsi="Times New Roman" w:eastAsia="方正仿宋_GBK" w:cs="Times New Roman"/>
          <w:sz w:val="32"/>
          <w:highlight w:val="none"/>
          <w:lang w:val="en-US" w:eastAsia="zh-CN"/>
        </w:rPr>
        <w:t>中心预算单独财政预算</w:t>
      </w:r>
      <w:r>
        <w:rPr>
          <w:rFonts w:hint="default" w:ascii="Times New Roman" w:hAnsi="Times New Roman" w:eastAsia="方正仿宋_GBK" w:cs="Times New Roman"/>
          <w:sz w:val="32"/>
          <w:highlight w:val="none"/>
        </w:rPr>
        <w:t>。</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年年初预算数78.7万元，其中：一般公共服务支出预算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万元，文化旅游体育与传媒支出预算</w:t>
      </w:r>
      <w:r>
        <w:rPr>
          <w:rFonts w:hint="eastAsia" w:ascii="Times New Roman" w:hAnsi="Times New Roman" w:eastAsia="方正仿宋_GBK" w:cs="Times New Roman"/>
          <w:sz w:val="32"/>
          <w:highlight w:val="none"/>
          <w:lang w:val="en-US" w:eastAsia="zh-CN"/>
        </w:rPr>
        <w:t>61.11</w:t>
      </w:r>
      <w:r>
        <w:rPr>
          <w:rFonts w:hint="default" w:ascii="Times New Roman" w:hAnsi="Times New Roman" w:eastAsia="方正仿宋_GBK" w:cs="Times New Roman"/>
          <w:sz w:val="32"/>
          <w:highlight w:val="none"/>
        </w:rPr>
        <w:t>万元，社会保障和就业支出预算10.44万元，卫生健康支出预算3.65万元，住房保障支出预算3.5万元。支出预算较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年增加78.7万元，主要是基本支出预算增加78.7万元，项目支出预算增加</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三、部门预算情况说明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年一般公共预算财政拨款收入78.7万元，一般公共预算财政拨款支出78.7万元，比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年增加78.7万元。其中：基本支出78.7万元，比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年增加78.7万元，主要原因是</w:t>
      </w:r>
      <w:r>
        <w:rPr>
          <w:rFonts w:hint="default" w:ascii="Times New Roman" w:hAnsi="Times New Roman" w:eastAsia="方正仿宋_GBK" w:cs="Times New Roman"/>
          <w:sz w:val="32"/>
          <w:szCs w:val="32"/>
          <w:highlight w:val="none"/>
        </w:rPr>
        <w:t>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eastAsia" w:ascii="Times New Roman" w:hAnsi="Times New Roman" w:eastAsia="方正仿宋_GBK" w:cs="Times New Roman"/>
          <w:sz w:val="32"/>
          <w:highlight w:val="none"/>
          <w:lang w:val="en-US" w:eastAsia="zh-CN"/>
        </w:rPr>
        <w:t>中心预算单独财政预算</w:t>
      </w:r>
      <w:r>
        <w:rPr>
          <w:rFonts w:hint="default" w:ascii="Times New Roman" w:hAnsi="Times New Roman" w:eastAsia="方正仿宋_GBK" w:cs="Times New Roman"/>
          <w:sz w:val="32"/>
          <w:highlight w:val="none"/>
        </w:rPr>
        <w:t>等，主要用于保障在职人员工资福利及社会保险缴费，离休人员离休费，退休人员补助等，保障部门正常运转的各项商品服务支出；项目支出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firstLine="640" w:firstLineChars="200"/>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szCs w:val="32"/>
          <w:highlight w:val="none"/>
        </w:rPr>
        <w:t>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eastAsia" w:ascii="Times New Roman" w:hAnsi="Times New Roman" w:eastAsia="方正仿宋_GBK" w:cs="Times New Roman"/>
          <w:sz w:val="32"/>
          <w:highlight w:val="none"/>
          <w:lang w:val="en-US" w:eastAsia="zh-CN"/>
        </w:rPr>
        <w:t>中心</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年无使用政府性基金预算拨款安排的支出</w:t>
      </w:r>
      <w:r>
        <w:rPr>
          <w:rFonts w:hint="eastAsia" w:ascii="Times New Roman" w:hAnsi="Times New Roman" w:eastAsia="方正仿宋_GBK" w:cs="Times New Roman"/>
          <w:sz w:val="32"/>
          <w:highlight w:val="none"/>
          <w:lang w:eastAsia="zh-CN"/>
        </w:rPr>
        <w:t>。</w:t>
      </w:r>
    </w:p>
    <w:p>
      <w:pPr>
        <w:spacing w:line="600" w:lineRule="exact"/>
        <w:ind w:left="640"/>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spacing w:line="600" w:lineRule="exact"/>
        <w:ind w:left="64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（一）</w:t>
      </w:r>
      <w:r>
        <w:rPr>
          <w:rFonts w:hint="default" w:ascii="Times New Roman" w:hAnsi="Times New Roman" w:eastAsia="方正仿宋_GBK" w:cs="Times New Roman"/>
          <w:sz w:val="32"/>
          <w:highlight w:val="none"/>
        </w:rPr>
        <w:t>我单位不在机关运行经费统计范围之内。</w:t>
      </w:r>
    </w:p>
    <w:p>
      <w:pPr>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default"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 xml:space="preserve">万元、政府采购工程预算  </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万元。</w:t>
      </w:r>
    </w:p>
    <w:p>
      <w:pPr>
        <w:ind w:firstLine="640" w:firstLineChars="200"/>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rPr>
        <w:t>预算单位共有车辆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ind w:firstLine="640" w:firstLineChars="200"/>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指单位取得的除“财政拨款收入”、“事业收入”、“经营收入”等以外的收入。</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5"/>
        <w:tabs>
          <w:tab w:val="center" w:pos="4153"/>
          <w:tab w:val="left" w:pos="7275"/>
        </w:tabs>
        <w:spacing w:line="600" w:lineRule="exact"/>
        <w:ind w:firstLine="640"/>
        <w:jc w:val="left"/>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（五）“三公”经费：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p>
    <w:p>
      <w:pPr>
        <w:spacing w:line="600" w:lineRule="exact"/>
        <w:ind w:firstLine="880" w:firstLineChars="200"/>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年部门预算公开报表</w:t>
      </w:r>
    </w:p>
    <w:p>
      <w:pPr>
        <w:ind w:firstLine="640" w:firstLineChars="200"/>
        <w:rPr>
          <w:rFonts w:hint="default" w:ascii="Times New Roman" w:hAnsi="Times New Roman" w:eastAsia="方正黑体_GBK"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年部门预算公开报表（详见附表重庆市开州区九龙山镇新时代文明实践</w:t>
      </w:r>
      <w:r>
        <w:rPr>
          <w:rFonts w:hint="eastAsia" w:ascii="Times New Roman" w:hAnsi="Times New Roman" w:eastAsia="方正仿宋_GBK" w:cs="Times New Roman"/>
          <w:sz w:val="32"/>
          <w:szCs w:val="32"/>
          <w:highlight w:val="none"/>
          <w:lang w:val="en-US" w:eastAsia="zh-CN"/>
        </w:rPr>
        <w:t>服务</w:t>
      </w:r>
      <w:r>
        <w:rPr>
          <w:rFonts w:hint="eastAsia" w:ascii="Times New Roman" w:hAnsi="Times New Roman" w:eastAsia="方正仿宋_GBK" w:cs="Times New Roman"/>
          <w:sz w:val="32"/>
          <w:highlight w:val="none"/>
          <w:lang w:val="en-US" w:eastAsia="zh-CN"/>
        </w:rPr>
        <w:t>中心</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年部门预算公开报表）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部门预算公开联系人：</w:t>
      </w:r>
      <w:r>
        <w:rPr>
          <w:rFonts w:hint="eastAsia" w:ascii="Times New Roman" w:hAnsi="Times New Roman" w:eastAsia="方正仿宋_GBK" w:cs="Times New Roman"/>
          <w:sz w:val="32"/>
          <w:szCs w:val="32"/>
          <w:highlight w:val="none"/>
          <w:lang w:val="en-US" w:eastAsia="zh-CN"/>
        </w:rPr>
        <w:t>曾祥维</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lang w:val="en-US" w:eastAsia="zh-CN"/>
        </w:rPr>
        <w:t>52241393</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right"/>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rPr>
        <w:t>　       重庆市开州区九龙山镇</w:t>
      </w:r>
      <w:r>
        <w:rPr>
          <w:rFonts w:hint="eastAsia" w:ascii="Times New Roman" w:hAnsi="Times New Roman" w:eastAsia="方正仿宋_GBK" w:cs="Times New Roman"/>
          <w:sz w:val="32"/>
          <w:szCs w:val="32"/>
          <w:highlight w:val="none"/>
          <w:lang w:val="en-US" w:eastAsia="zh-CN"/>
        </w:rPr>
        <w:t>人民政府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年3月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w:t>
      </w:r>
    </w:p>
    <w:p>
      <w:pPr>
        <w:spacing w:line="560" w:lineRule="exact"/>
        <w:jc w:val="both"/>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spacing w:line="640" w:lineRule="exact"/>
        <w:jc w:val="center"/>
        <w:rPr>
          <w:rFonts w:hint="default" w:ascii="Times New Roman" w:hAnsi="Times New Roman" w:eastAsia="方正仿宋_GBK" w:cs="Times New Roman"/>
          <w:sz w:val="32"/>
          <w:szCs w:val="32"/>
          <w:highlight w:val="none"/>
        </w:rPr>
      </w:pPr>
    </w:p>
    <w:p>
      <w:pPr>
        <w:tabs>
          <w:tab w:val="left" w:pos="1440"/>
        </w:tabs>
        <w:spacing w:line="640" w:lineRule="exac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ab/>
      </w:r>
    </w:p>
    <w:p>
      <w:pPr>
        <w:overflowPunct w:val="0"/>
        <w:spacing w:line="480" w:lineRule="exact"/>
        <w:ind w:left="0" w:leftChars="0" w:firstLine="0" w:firstLineChars="0"/>
        <w:jc w:val="both"/>
      </w:pPr>
      <w:r>
        <w:rPr>
          <w:rFonts w:hint="default" w:ascii="Times New Roman" w:hAnsi="Times New Roman" w:cs="Times New Roman"/>
          <w:highlight w:val="none"/>
        </w:rPr>
        <mc:AlternateContent>
          <mc:Choice Requires="wps">
            <w:drawing>
              <wp:anchor distT="0" distB="0" distL="114300" distR="114300" simplePos="0" relativeHeight="251659264" behindDoc="0" locked="0" layoutInCell="1" allowOverlap="1">
                <wp:simplePos x="0" y="0"/>
                <wp:positionH relativeFrom="margin">
                  <wp:posOffset>-24765</wp:posOffset>
                </wp:positionH>
                <wp:positionV relativeFrom="paragraph">
                  <wp:posOffset>358140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5pt;margin-top:28.2pt;height:0pt;width:442.2pt;mso-position-horizontal-relative:margin;z-index:251659264;mso-width-relative:page;mso-height-relative:page;" filled="f" stroked="t" coordsize="21600,21600" o:gfxdata="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BW2Fy&#10;1wAAAAgBAAAPAAAAAAAAAAEAIAAAACIAAABkcnMvZG93bnJldi54bWxQSwECFAAUAAAACACHTuJA&#10;vmuOEOkBAAC4AwAADgAAAAAAAAABACAAAAAmAQAAZHJzL2Uyb0RvYy54bWxQSwUGAAAAAAYABgBZ&#10;AQAAgQUAAAAA&#10;">
                <v:fill on="f" focussize="0,0"/>
                <v:stroke color="#000000" joinstyle="round"/>
                <v:imagedata o:title=""/>
                <o:lock v:ext="edit" aspectratio="f"/>
              </v:line>
            </w:pict>
          </mc:Fallback>
        </mc:AlternateContent>
      </w:r>
      <w:r>
        <w:rPr>
          <w:rFonts w:hint="default" w:ascii="Times New Roman" w:hAnsi="Times New Roman" w:eastAsia="方正仿宋_GBK" w:cs="Times New Roman"/>
          <w:kern w:val="0"/>
          <w:sz w:val="28"/>
          <w:szCs w:val="28"/>
          <w:highlight w:val="none"/>
        </w:rPr>
        <w:t>重庆市开州区九龙山镇</w:t>
      </w:r>
      <w:r>
        <w:rPr>
          <w:rFonts w:hint="eastAsia" w:ascii="Times New Roman" w:hAnsi="Times New Roman" w:eastAsia="方正仿宋_GBK" w:cs="Times New Roman"/>
          <w:kern w:val="0"/>
          <w:sz w:val="28"/>
          <w:szCs w:val="28"/>
          <w:highlight w:val="none"/>
          <w:lang w:val="en-US" w:eastAsia="zh-CN"/>
        </w:rPr>
        <w:t>基层治理指挥中心</w:t>
      </w:r>
      <w:r>
        <w:rPr>
          <w:rFonts w:hint="default" w:ascii="Times New Roman" w:hAnsi="Times New Roman" w:cs="Times New Roman"/>
          <w:highlight w:val="non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highlight w:val="none"/>
          <w:lang w:val="en-US" w:eastAsia="zh-CN"/>
        </w:rPr>
        <w:t xml:space="preserve">       </w:t>
      </w:r>
      <w:r>
        <w:rPr>
          <w:rFonts w:hint="default" w:ascii="Times New Roman" w:hAnsi="Times New Roman" w:eastAsia="方正仿宋_GBK" w:cs="Times New Roman"/>
          <w:kern w:val="0"/>
          <w:sz w:val="28"/>
          <w:szCs w:val="28"/>
          <w:highlight w:val="none"/>
        </w:rPr>
        <w:t>202</w:t>
      </w:r>
      <w:r>
        <w:rPr>
          <w:rFonts w:hint="default" w:ascii="Times New Roman" w:hAnsi="Times New Roman" w:eastAsia="方正仿宋_GBK" w:cs="Times New Roman"/>
          <w:kern w:val="0"/>
          <w:sz w:val="28"/>
          <w:szCs w:val="28"/>
          <w:highlight w:val="none"/>
          <w:lang w:val="en-US" w:eastAsia="zh-CN"/>
        </w:rPr>
        <w:t>6</w:t>
      </w:r>
      <w:r>
        <w:rPr>
          <w:rFonts w:hint="default" w:ascii="Times New Roman" w:hAnsi="Times New Roman" w:eastAsia="方正仿宋_GBK" w:cs="Times New Roman"/>
          <w:kern w:val="0"/>
          <w:sz w:val="28"/>
          <w:szCs w:val="28"/>
          <w:highlight w:val="none"/>
        </w:rPr>
        <w:t>年3月</w:t>
      </w:r>
      <w:r>
        <w:rPr>
          <w:rFonts w:hint="eastAsia" w:ascii="Times New Roman" w:hAnsi="Times New Roman" w:eastAsia="方正仿宋_GBK" w:cs="Times New Roman"/>
          <w:kern w:val="0"/>
          <w:sz w:val="28"/>
          <w:szCs w:val="28"/>
          <w:highlight w:val="none"/>
          <w:lang w:val="en-US" w:eastAsia="zh-CN"/>
        </w:rPr>
        <w:t>12</w:t>
      </w:r>
      <w:bookmarkStart w:id="0" w:name="_GoBack"/>
      <w:bookmarkEnd w:id="0"/>
      <w:r>
        <w:rPr>
          <w:rFonts w:hint="default" w:ascii="Times New Roman" w:hAnsi="Times New Roman" w:eastAsia="方正仿宋_GBK" w:cs="Times New Roman"/>
          <w:kern w:val="0"/>
          <w:sz w:val="28"/>
          <w:szCs w:val="28"/>
          <w:highlight w:val="none"/>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507D"/>
    <w:rsid w:val="077F4480"/>
    <w:rsid w:val="122540B0"/>
    <w:rsid w:val="18FD2917"/>
    <w:rsid w:val="1A4E6E08"/>
    <w:rsid w:val="1C946519"/>
    <w:rsid w:val="203374D1"/>
    <w:rsid w:val="211C21AD"/>
    <w:rsid w:val="27842DAE"/>
    <w:rsid w:val="404F35A1"/>
    <w:rsid w:val="42D1448D"/>
    <w:rsid w:val="450378B2"/>
    <w:rsid w:val="4F066B0C"/>
    <w:rsid w:val="50E02DB1"/>
    <w:rsid w:val="51E463C2"/>
    <w:rsid w:val="579F2179"/>
    <w:rsid w:val="63F7459F"/>
    <w:rsid w:val="643028BC"/>
    <w:rsid w:val="6806572A"/>
    <w:rsid w:val="74C00B41"/>
    <w:rsid w:val="79295B2D"/>
    <w:rsid w:val="7EF57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2026-02-10T07:11:00Z</dcterms:created>
  <dc:creator>Administrator</dc:creator>
  <cp:lastModifiedBy>彭剑</cp:lastModifiedBy>
  <dcterms:modified xsi:type="dcterms:W3CDTF">2026-03-12T07:56:44Z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306FCC37AC2B47289E223330E1CC7C28_12</vt:lpwstr>
  </property>
</Properties>
</file>