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r>
        <w:rPr>
          <w:rFonts w:hint="eastAsia" w:ascii="Times New Roman" w:hAnsi="Times New Roman"/>
          <w:b/>
          <w:sz w:val="36"/>
          <w:szCs w:val="36"/>
        </w:rPr>
        <mc:AlternateContent>
          <mc:Choice Requires="wpg">
            <w:drawing>
              <wp:anchor distT="0" distB="0" distL="114300" distR="114300" simplePos="0" relativeHeight="251660288" behindDoc="0" locked="0" layoutInCell="1" allowOverlap="1">
                <wp:simplePos x="0" y="0"/>
                <wp:positionH relativeFrom="column">
                  <wp:posOffset>-58420</wp:posOffset>
                </wp:positionH>
                <wp:positionV relativeFrom="paragraph">
                  <wp:posOffset>-558800</wp:posOffset>
                </wp:positionV>
                <wp:extent cx="5829300" cy="2112645"/>
                <wp:effectExtent l="0" t="0" r="0" b="19050"/>
                <wp:wrapNone/>
                <wp:docPr id="8" name="组合 8"/>
                <wp:cNvGraphicFramePr/>
                <a:graphic xmlns:a="http://schemas.openxmlformats.org/drawingml/2006/main">
                  <a:graphicData uri="http://schemas.microsoft.com/office/word/2010/wordprocessingGroup">
                    <wpg:wgp>
                      <wpg:cNvGrpSpPr/>
                      <wpg:grpSpPr>
                        <a:xfrm>
                          <a:off x="0" y="0"/>
                          <a:ext cx="5829300" cy="2112645"/>
                          <a:chOff x="1420" y="6614"/>
                          <a:chExt cx="9180" cy="3327"/>
                        </a:xfrm>
                        <a:effectLst/>
                      </wpg:grpSpPr>
                      <wps:wsp>
                        <wps:cNvPr id="6" name="直接连接符 6"/>
                        <wps:cNvCnPr/>
                        <wps:spPr>
                          <a:xfrm flipV="1">
                            <a:off x="1600" y="9941"/>
                            <a:ext cx="8820" cy="0"/>
                          </a:xfrm>
                          <a:prstGeom prst="line">
                            <a:avLst/>
                          </a:prstGeom>
                          <a:ln w="38100" cap="flat" cmpd="sng">
                            <a:solidFill>
                              <a:srgbClr val="FF0000"/>
                            </a:solidFill>
                            <a:prstDash val="solid"/>
                            <a:headEnd type="none" w="med" len="med"/>
                            <a:tailEnd type="none" w="med" len="med"/>
                          </a:ln>
                          <a:effectLst/>
                        </wps:spPr>
                        <wps:bodyPr upright="1"/>
                      </wps:wsp>
                      <wps:wsp>
                        <wps:cNvPr id="7" name="文本框 7"/>
                        <wps:cNvSpPr txBox="1"/>
                        <wps:spPr>
                          <a:xfrm>
                            <a:off x="1420" y="6614"/>
                            <a:ext cx="9180" cy="1872"/>
                          </a:xfrm>
                          <a:prstGeom prst="rect">
                            <a:avLst/>
                          </a:prstGeom>
                          <a:noFill/>
                          <a:ln w="25400">
                            <a:noFill/>
                          </a:ln>
                          <a:effectLst/>
                        </wps:spPr>
                        <wps:txb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wps:txbx>
                        <wps:bodyPr upright="1"/>
                      </wps:wsp>
                    </wpg:wgp>
                  </a:graphicData>
                </a:graphic>
              </wp:anchor>
            </w:drawing>
          </mc:Choice>
          <mc:Fallback>
            <w:pict>
              <v:group id="_x0000_s1026" o:spid="_x0000_s1026" o:spt="203" style="position:absolute;left:0pt;margin-left:-4.6pt;margin-top:-44pt;height:166.35pt;width:459pt;z-index:251660288;mso-width-relative:page;mso-height-relative:page;" coordorigin="1420,6614" coordsize="9180,3327" o:gfxdata="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&#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zx9SbaAAAACgEAAA8AAAAAAAAAAQAgAAAAIgAAAGRy&#10;cy9kb3ducmV2LnhtbFBLAQIUABQAAAAIAIdO4kC9LO7B5wIAAMgGAAAOAAAAAAAAAAEAIAAAACkB&#10;AABkcnMvZTJvRG9jLnhtbFBLBQYAAAAABgAGAFkBAACCBgAAAAA=&#10;">
                <o:lock v:ext="edit" aspectratio="f"/>
                <v:line id="_x0000_s1026" o:spid="_x0000_s1026" o:spt="20" style="position:absolute;left:1600;top:9941;flip:y;height:0;width:8820;" filled="f" stroked="t" coordsize="21600,21600" o:gfxdata="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FPD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shape id="_x0000_s1026" o:spid="_x0000_s1026" o:spt="202" type="#_x0000_t202" style="position:absolute;left:1420;top:6614;height:1872;width:9180;" filled="f" stroked="f" coordsize="21600,21600" o:gfxdata="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XVy&#10;wAAAANoAAAAPAAAAAAAAAAEAIAAAACIAAABkcnMvZG93bnJldi54bWxQSwECFAAUAAAACACHTuJA&#10;My8FnjsAAAA5AAAAEAAAAAAAAAABACAAAAAPAQAAZHJzL3NoYXBleG1sLnhtbFBLBQYAAAAABgAG&#10;AFsBAAC5AwAAAAA=&#10;">
                  <v:fill on="f" focussize="0,0"/>
                  <v:stroke on="f" weight="2pt"/>
                  <v:imagedata o:title=""/>
                  <o:lock v:ext="edit" aspectratio="f"/>
                  <v:textbo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金府发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17</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highlight w:val="none"/>
          <w:lang w:val="en-US" w:eastAsia="zh-CN"/>
        </w:rPr>
      </w:pPr>
      <w:r>
        <w:rPr>
          <w:rFonts w:hint="default" w:ascii="Times New Roman" w:hAnsi="Times New Roman" w:eastAsia="方正小标宋_GBK" w:cs="方正小标宋_GBK"/>
          <w:sz w:val="44"/>
          <w:szCs w:val="36"/>
        </w:rPr>
        <w:t>重庆市开州区</w:t>
      </w:r>
      <w:r>
        <w:rPr>
          <w:rFonts w:hint="eastAsia" w:ascii="Times New Roman" w:hAnsi="Times New Roman" w:eastAsia="方正小标宋_GBK" w:cs="方正小标宋_GBK"/>
          <w:sz w:val="44"/>
          <w:szCs w:val="36"/>
          <w:lang w:val="en-US" w:eastAsia="zh-CN"/>
        </w:rPr>
        <w:t>金</w:t>
      </w:r>
      <w:r>
        <w:rPr>
          <w:rFonts w:hint="eastAsia" w:ascii="Times New Roman" w:hAnsi="Times New Roman" w:eastAsia="方正小标宋_GBK" w:cs="方正小标宋_GBK"/>
          <w:sz w:val="44"/>
          <w:szCs w:val="36"/>
          <w:highlight w:val="none"/>
          <w:lang w:val="en-US" w:eastAsia="zh-CN"/>
        </w:rPr>
        <w:t>峰镇村镇建设服务中心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highlight w:val="none"/>
        </w:rPr>
        <w:t>关于</w:t>
      </w:r>
      <w:r>
        <w:rPr>
          <w:rFonts w:hint="default" w:ascii="Times New Roman" w:hAnsi="Times New Roman" w:eastAsia="方正小标宋_GBK" w:cs="方正小标宋_GBK"/>
          <w:sz w:val="44"/>
          <w:szCs w:val="36"/>
          <w:highlight w:val="none"/>
          <w:lang w:val="en-US" w:eastAsia="zh-CN"/>
        </w:rPr>
        <w:t>2026</w:t>
      </w:r>
      <w:r>
        <w:rPr>
          <w:rFonts w:hint="default" w:ascii="Times New Roman" w:hAnsi="Times New Roman" w:eastAsia="方正小标宋_GBK" w:cs="方正小标宋_GBK"/>
          <w:sz w:val="44"/>
          <w:szCs w:val="36"/>
          <w:highlight w:val="none"/>
        </w:rPr>
        <w:t>年</w:t>
      </w:r>
      <w:r>
        <w:rPr>
          <w:rFonts w:hint="eastAsia" w:ascii="Times New Roman" w:hAnsi="Times New Roman" w:eastAsia="方正小标宋_GBK" w:cs="方正小标宋_GBK"/>
          <w:sz w:val="44"/>
          <w:szCs w:val="36"/>
          <w:highlight w:val="none"/>
          <w:lang w:val="en-US" w:eastAsia="zh-CN"/>
        </w:rPr>
        <w:t>单位</w:t>
      </w:r>
      <w:r>
        <w:rPr>
          <w:rFonts w:hint="default" w:ascii="Times New Roman" w:hAnsi="Times New Roman" w:eastAsia="方正小标宋_GBK" w:cs="方正小标宋_GBK"/>
          <w:sz w:val="44"/>
          <w:szCs w:val="36"/>
          <w:highlight w:val="none"/>
        </w:rPr>
        <w:t>预</w:t>
      </w:r>
      <w:r>
        <w:rPr>
          <w:rFonts w:hint="default" w:ascii="Times New Roman" w:hAnsi="Times New Roman" w:eastAsia="方正小标宋_GBK" w:cs="方正小标宋_GBK"/>
          <w:sz w:val="44"/>
          <w:szCs w:val="36"/>
        </w:rPr>
        <w:t>算情况公开的</w:t>
      </w:r>
      <w:r>
        <w:rPr>
          <w:rFonts w:hint="default" w:ascii="Times New Roman" w:hAnsi="Times New Roman" w:eastAsia="方正小标宋_GBK" w:cs="方正小标宋_GBK"/>
          <w:sz w:val="44"/>
          <w:szCs w:val="36"/>
          <w:lang w:eastAsia="zh-CN"/>
        </w:rPr>
        <w:t>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按照有关财政预算公开的部署和要求，依据《中华人民共和国政府信息公开条例》（国务院令第492号）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重庆市开州区金峰镇人民政府关于批复2026年单位预算的通知</w:t>
      </w:r>
      <w:r>
        <w:rPr>
          <w:rFonts w:hint="default" w:ascii="Times New Roman" w:hAnsi="Times New Roman" w:eastAsia="方正仿宋_GBK" w:cs="Times New Roman"/>
          <w:sz w:val="32"/>
        </w:rPr>
        <w:t>》（开州金府发〔2026〕11号）</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现将重庆市开州区金峰</w:t>
      </w:r>
      <w:r>
        <w:rPr>
          <w:rFonts w:hint="default" w:ascii="Times New Roman" w:hAnsi="Times New Roman" w:eastAsia="方正仿宋_GBK" w:cs="Times New Roman"/>
          <w:sz w:val="32"/>
          <w:highlight w:val="none"/>
        </w:rPr>
        <w:t>镇村镇建设服务中心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预算批复</w:t>
      </w:r>
      <w:r>
        <w:rPr>
          <w:rFonts w:hint="default" w:ascii="Times New Roman" w:hAnsi="Times New Roman" w:eastAsia="方正仿宋_GBK" w:cs="Times New Roman"/>
          <w:sz w:val="32"/>
        </w:rPr>
        <w:t>情况公开如下：</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rPr>
      </w:pPr>
      <w:r>
        <w:rPr>
          <w:rFonts w:hint="default" w:ascii="Times New Roman" w:hAnsi="Times New Roman" w:eastAsia="方正黑体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方正楷体_GBK"/>
          <w:sz w:val="32"/>
        </w:rPr>
      </w:pPr>
      <w:r>
        <w:rPr>
          <w:rFonts w:hint="default" w:ascii="Times New Roman" w:hAnsi="Times New Roman" w:eastAsia="方正楷体_GBK" w:cs="方正楷体_GBK"/>
          <w:sz w:val="32"/>
        </w:rPr>
        <w:t>第一部分：</w:t>
      </w:r>
      <w:r>
        <w:rPr>
          <w:rFonts w:hint="default" w:ascii="Times New Roman" w:hAnsi="Times New Roman" w:eastAsia="方正楷体_GBK" w:cs="方正楷体_GBK"/>
          <w:sz w:val="32"/>
          <w:lang w:val="en-US" w:eastAsia="zh-CN"/>
        </w:rPr>
        <w:t>2026</w:t>
      </w:r>
      <w:r>
        <w:rPr>
          <w:rFonts w:hint="default" w:ascii="Times New Roman" w:hAnsi="Times New Roman" w:eastAsia="方正楷体_GBK" w:cs="方正楷体_GBK"/>
          <w:sz w:val="32"/>
        </w:rPr>
        <w:t>年</w:t>
      </w:r>
      <w:r>
        <w:rPr>
          <w:rFonts w:hint="eastAsia" w:ascii="Times New Roman" w:hAnsi="Times New Roman" w:eastAsia="方正楷体_GBK" w:cs="方正楷体_GBK"/>
          <w:sz w:val="32"/>
          <w:lang w:val="en-US" w:eastAsia="zh-CN"/>
        </w:rPr>
        <w:t>单位</w:t>
      </w:r>
      <w:r>
        <w:rPr>
          <w:rFonts w:hint="default" w:ascii="Times New Roman" w:hAnsi="Times New Roman" w:eastAsia="方正楷体_GBK" w:cs="方正楷体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lang w:val="en-US" w:eastAsia="zh-CN"/>
        </w:rPr>
      </w:pPr>
      <w:r>
        <w:rPr>
          <w:rFonts w:hint="default" w:ascii="Times New Roman" w:hAnsi="Times New Roman" w:eastAsia="方正仿宋_GBK" w:cs="方正仿宋_GBK"/>
          <w:sz w:val="32"/>
        </w:rPr>
        <w:t>二、</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收支总体情况</w:t>
      </w:r>
      <w:r>
        <w:rPr>
          <w:rFonts w:hint="eastAsia" w:ascii="Times New Roman" w:hAnsi="Times New Roman" w:eastAsia="方正仿宋_GBK" w:cs="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三、</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四、</w:t>
      </w:r>
      <w:r>
        <w:rPr>
          <w:rFonts w:hint="eastAsia" w:ascii="Times New Roman" w:hAnsi="Times New Roman" w:eastAsia="方正仿宋_GBK" w:cs="方正仿宋_GBK"/>
          <w:sz w:val="32"/>
          <w:lang w:eastAsia="zh-CN"/>
        </w:rPr>
        <w:t>“</w:t>
      </w:r>
      <w:r>
        <w:rPr>
          <w:rFonts w:hint="eastAsia" w:ascii="方正仿宋_GBK" w:hAnsi="方正仿宋_GBK" w:eastAsia="方正仿宋_GBK" w:cs="方正仿宋_GBK"/>
          <w:sz w:val="32"/>
        </w:rPr>
        <w:t>三公</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w:t>
      </w:r>
      <w:r>
        <w:rPr>
          <w:rFonts w:hint="default" w:ascii="Times New Roman" w:hAnsi="Times New Roman" w:eastAsia="方正仿宋_GBK" w:cs="方正仿宋_GBK"/>
          <w:sz w:val="32"/>
        </w:rPr>
        <w:t>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六、专业性名词解释</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highlight w:val="none"/>
        </w:rPr>
        <w:t>服务中心收</w:t>
      </w:r>
      <w:r>
        <w:rPr>
          <w:rFonts w:hint="default" w:ascii="Times New Roman" w:hAnsi="Times New Roman" w:eastAsia="方正仿宋_GBK" w:cs="Times New Roman"/>
          <w:sz w:val="32"/>
        </w:rPr>
        <w:t>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表2、重庆市开州区金峰镇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表3、重庆市开州区金峰镇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服务中心本年支出预算总表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表4、重庆市开州区金峰镇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表5、重庆市开州区金峰镇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服务中心本年一般公共预算支出预算表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表6、重庆市开州区金峰镇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表7、重庆市开州区金峰镇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服务中心一般公共预算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表8、重庆市开州区金峰镇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表9、重庆市开州区金峰镇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表10、重庆市开州区金峰镇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rPr>
        <w:t>服务中心项目支出表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方正小标宋_GBK"/>
          <w:sz w:val="44"/>
          <w:szCs w:val="36"/>
        </w:rPr>
        <w:t>第一部分：</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szCs w:val="32"/>
          <w:highlight w:val="none"/>
        </w:rPr>
        <w:t>服务中心</w:t>
      </w:r>
      <w:r>
        <w:rPr>
          <w:rFonts w:hint="default" w:ascii="Times New Roman" w:hAnsi="Times New Roman" w:eastAsia="方正仿宋_GBK" w:cs="Times New Roman"/>
          <w:sz w:val="32"/>
          <w:highlight w:val="none"/>
        </w:rPr>
        <w:t>属于</w:t>
      </w:r>
      <w:r>
        <w:rPr>
          <w:rFonts w:hint="eastAsia" w:ascii="Times New Roman" w:hAnsi="Times New Roman" w:eastAsia="方正仿宋_GBK" w:cs="Times New Roman"/>
          <w:sz w:val="32"/>
          <w:highlight w:val="none"/>
          <w:lang w:val="en-US" w:eastAsia="zh-CN"/>
        </w:rPr>
        <w:t>乡镇级事业单位</w:t>
      </w:r>
      <w:r>
        <w:rPr>
          <w:rFonts w:hint="default" w:ascii="Times New Roman" w:hAnsi="Times New Roman" w:eastAsia="方正仿宋_GBK" w:cs="Times New Roman"/>
          <w:sz w:val="32"/>
          <w:highlight w:val="none"/>
        </w:rPr>
        <w:t>。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重庆市开州区金峰镇</w:t>
      </w:r>
      <w:r>
        <w:rPr>
          <w:rFonts w:hint="eastAsia" w:eastAsia="方正仿宋_GBK"/>
          <w:sz w:val="32"/>
          <w:szCs w:val="32"/>
          <w:highlight w:val="none"/>
        </w:rPr>
        <w:t>村镇建设</w:t>
      </w:r>
      <w:r>
        <w:rPr>
          <w:rFonts w:hint="default" w:ascii="Times New Roman" w:hAnsi="Times New Roman" w:eastAsia="方正仿宋_GBK" w:cs="Times New Roman"/>
          <w:sz w:val="32"/>
          <w:szCs w:val="32"/>
          <w:highlight w:val="none"/>
        </w:rPr>
        <w:t>服务中心</w:t>
      </w:r>
      <w:r>
        <w:rPr>
          <w:rFonts w:hint="eastAsia" w:ascii="Times New Roman" w:hAnsi="Times New Roman" w:eastAsia="方正仿宋_GBK" w:cs="Times New Roman"/>
          <w:sz w:val="32"/>
          <w:highlight w:val="none"/>
          <w:lang w:val="en-US" w:eastAsia="zh-CN"/>
        </w:rPr>
        <w:t>为二级预算单位，无下级预算单位，本单位</w:t>
      </w:r>
      <w:r>
        <w:rPr>
          <w:rFonts w:hint="eastAsia" w:ascii="Times New Roman" w:hAnsi="Times New Roman" w:eastAsia="方正仿宋_GBK"/>
          <w:sz w:val="32"/>
          <w:highlight w:val="none"/>
        </w:rPr>
        <w:t>设有事业编制</w:t>
      </w:r>
      <w:r>
        <w:rPr>
          <w:rFonts w:hint="eastAsia" w:ascii="Times New Roman" w:hAnsi="Times New Roman" w:eastAsia="方正仿宋_GBK"/>
          <w:sz w:val="32"/>
          <w:highlight w:val="none"/>
          <w:lang w:val="en-US" w:eastAsia="zh-CN"/>
        </w:rPr>
        <w:t>9</w:t>
      </w:r>
      <w:r>
        <w:rPr>
          <w:rFonts w:hint="eastAsia" w:ascii="Times New Roman" w:hAnsi="Times New Roman" w:eastAsia="方正仿宋_GBK"/>
          <w:sz w:val="32"/>
          <w:highlight w:val="none"/>
        </w:rPr>
        <w:t>名</w:t>
      </w:r>
      <w:r>
        <w:rPr>
          <w:rFonts w:hint="eastAsia" w:ascii="Times New Roman" w:hAnsi="Times New Roman" w:eastAsia="方正仿宋_GBK"/>
          <w:sz w:val="32"/>
          <w:highlight w:val="none"/>
          <w:lang w:eastAsia="zh-CN"/>
        </w:rPr>
        <w:t>，主管部门为重庆市开州区</w:t>
      </w:r>
      <w:r>
        <w:rPr>
          <w:rFonts w:hint="eastAsia" w:ascii="Times New Roman" w:hAnsi="Times New Roman" w:eastAsia="方正仿宋_GBK"/>
          <w:sz w:val="32"/>
          <w:highlight w:val="none"/>
          <w:lang w:val="en-US" w:eastAsia="zh-CN"/>
        </w:rPr>
        <w:t>金峰</w:t>
      </w:r>
      <w:r>
        <w:rPr>
          <w:rFonts w:hint="eastAsia" w:ascii="Times New Roman" w:hAnsi="Times New Roman" w:eastAsia="方正仿宋_GBK"/>
          <w:sz w:val="32"/>
          <w:highlight w:val="none"/>
          <w:lang w:eastAsia="zh-CN"/>
        </w:rPr>
        <w:t>镇人民政府。</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社会保障和就业支出预算</w:t>
      </w:r>
      <w:r>
        <w:rPr>
          <w:rFonts w:hint="eastAsia" w:ascii="Times New Roman" w:hAnsi="Times New Roman" w:eastAsia="方正仿宋_GBK" w:cs="Times New Roman"/>
          <w:sz w:val="32"/>
          <w:highlight w:val="none"/>
          <w:lang w:val="en-US" w:eastAsia="zh-CN"/>
        </w:rPr>
        <w:t>22.52</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7.84</w:t>
      </w:r>
      <w:r>
        <w:rPr>
          <w:rFonts w:hint="default"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eastAsia="zh-CN"/>
        </w:rPr>
        <w:t>预算</w:t>
      </w:r>
      <w:r>
        <w:rPr>
          <w:rFonts w:hint="eastAsia" w:ascii="Times New Roman" w:hAnsi="Times New Roman" w:eastAsia="方正仿宋_GBK" w:cs="Times New Roman"/>
          <w:sz w:val="32"/>
          <w:highlight w:val="none"/>
          <w:lang w:val="en-US" w:eastAsia="zh-CN"/>
        </w:rPr>
        <w:t>122.39万元，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7.83</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万元，主要</w:t>
      </w:r>
      <w:r>
        <w:rPr>
          <w:rFonts w:hint="eastAsia" w:ascii="Times New Roman" w:hAnsi="Times New Roman" w:eastAsia="方正仿宋_GBK" w:cs="Times New Roman"/>
          <w:sz w:val="32"/>
          <w:highlight w:val="none"/>
          <w:lang w:val="en-US" w:eastAsia="zh-CN"/>
        </w:rPr>
        <w:t>原因</w:t>
      </w:r>
      <w:r>
        <w:rPr>
          <w:rFonts w:hint="default" w:ascii="Times New Roman" w:hAnsi="Times New Roman" w:eastAsia="方正仿宋_GBK" w:cs="Times New Roman"/>
          <w:sz w:val="32"/>
          <w:highlight w:val="none"/>
        </w:rPr>
        <w:t>是</w:t>
      </w:r>
      <w:r>
        <w:rPr>
          <w:rFonts w:hint="eastAsia" w:ascii="Times New Roman" w:hAnsi="Times New Roman" w:eastAsia="方正仿宋_GBK" w:cs="Times New Roman"/>
          <w:sz w:val="32"/>
          <w:highlight w:val="none"/>
          <w:lang w:val="en-US" w:eastAsia="zh-CN"/>
        </w:rPr>
        <w:t>本单位于2025年年中开始独立核算，2025年年初无预算数</w:t>
      </w:r>
      <w:r>
        <w:rPr>
          <w:rFonts w:hint="default" w:ascii="Times New Roman" w:hAnsi="Times New Roman" w:eastAsia="方正仿宋_GBK" w:cs="Times New Roman"/>
          <w:sz w:val="32"/>
          <w:highlight w:val="none"/>
        </w:rPr>
        <w:t>。因四舍五入原因，部分分项加和与总计可能略有差异</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下同</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160.58</w:t>
      </w:r>
      <w:r>
        <w:rPr>
          <w:rFonts w:hint="default" w:ascii="Times New Roman" w:hAnsi="Times New Roman" w:eastAsia="方正仿宋_GBK" w:cs="Times New Roman"/>
          <w:sz w:val="32"/>
          <w:highlight w:val="none"/>
        </w:rPr>
        <w:t>万元，主要原因是本单位于2025年年中开始独立核算，2025年年初无预算数。主要用于保障</w:t>
      </w:r>
      <w:r>
        <w:rPr>
          <w:rFonts w:hint="eastAsia" w:ascii="Times New Roman" w:hAnsi="Times New Roman" w:eastAsia="方正仿宋_GBK" w:cs="Times New Roman"/>
          <w:sz w:val="32"/>
          <w:highlight w:val="none"/>
          <w:lang w:val="en-US" w:eastAsia="zh-CN"/>
        </w:rPr>
        <w:t>我单位</w:t>
      </w:r>
      <w:r>
        <w:rPr>
          <w:rFonts w:hint="default" w:ascii="Times New Roman" w:hAnsi="Times New Roman" w:eastAsia="方正仿宋_GBK" w:cs="Times New Roman"/>
          <w:sz w:val="32"/>
          <w:highlight w:val="none"/>
        </w:rPr>
        <w:t>在职人员工资福利及社会保险缴费等，保障</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highlight w:val="none"/>
        </w:rPr>
        <w:t>正常运转的各项商品服务支出。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重庆市开州区金峰镇</w:t>
      </w:r>
      <w:r>
        <w:rPr>
          <w:rFonts w:hint="eastAsia" w:ascii="Times New Roman" w:hAnsi="Times New Roman" w:eastAsia="方正仿宋_GBK" w:cs="Times New Roman"/>
          <w:sz w:val="32"/>
          <w:highlight w:val="none"/>
          <w:lang w:val="en-US" w:eastAsia="zh-CN"/>
        </w:rPr>
        <w:t>村镇建设</w:t>
      </w:r>
      <w:r>
        <w:rPr>
          <w:rFonts w:hint="default" w:ascii="Times New Roman" w:hAnsi="Times New Roman" w:eastAsia="方正仿宋_GBK" w:cs="Times New Roman"/>
          <w:sz w:val="32"/>
          <w:highlight w:val="none"/>
          <w:lang w:val="en-US" w:eastAsia="zh-CN"/>
        </w:rPr>
        <w:t>服务中心2026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三公</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经费情况说明</w:t>
      </w:r>
    </w:p>
    <w:p>
      <w:pPr>
        <w:keepNext w:val="0"/>
        <w:keepLines w:val="0"/>
        <w:pageBreakBefore w:val="0"/>
        <w:widowControl w:val="0"/>
        <w:kinsoku/>
        <w:overflowPunct/>
        <w:topLinePunct w:val="0"/>
        <w:autoSpaceDE/>
        <w:autoSpaceDN/>
        <w:bidi w:val="0"/>
        <w:adjustRightInd/>
        <w:snapToGrid/>
        <w:spacing w:line="600"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重庆市开州区金峰镇</w:t>
      </w:r>
      <w:r>
        <w:rPr>
          <w:rFonts w:hint="eastAsia" w:ascii="Times New Roman" w:hAnsi="Times New Roman" w:eastAsia="方正仿宋_GBK" w:cs="Times New Roman"/>
          <w:sz w:val="32"/>
          <w:highlight w:val="none"/>
          <w:lang w:val="en-US" w:eastAsia="zh-CN"/>
        </w:rPr>
        <w:t>村镇建设</w:t>
      </w:r>
      <w:r>
        <w:rPr>
          <w:rFonts w:hint="default" w:ascii="Times New Roman" w:hAnsi="Times New Roman" w:eastAsia="方正仿宋_GBK" w:cs="Times New Roman"/>
          <w:sz w:val="32"/>
          <w:highlight w:val="none"/>
          <w:lang w:val="en-US" w:eastAsia="zh-CN"/>
        </w:rPr>
        <w:t>服务中心2026年无</w:t>
      </w:r>
      <w:r>
        <w:rPr>
          <w:rFonts w:hint="eastAsia" w:ascii="Times New Roman" w:hAnsi="Times New Roman" w:eastAsia="方正仿宋_GBK" w:cs="Times New Roman"/>
          <w:sz w:val="32"/>
          <w:highlight w:val="none"/>
          <w:lang w:val="en-US" w:eastAsia="zh-CN"/>
        </w:rPr>
        <w:t>三公经费预算安排支出</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b/>
          <w:sz w:val="32"/>
          <w:highlight w:val="none"/>
        </w:rPr>
        <w:t>机关运行经费。</w:t>
      </w:r>
      <w:r>
        <w:rPr>
          <w:rFonts w:hint="eastAsia" w:ascii="Times New Roman" w:hAnsi="Times New Roman" w:eastAsia="方正仿宋_GBK" w:cs="Times New Roman"/>
          <w:sz w:val="32"/>
          <w:highlight w:val="none"/>
          <w:lang w:val="en-US"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预算公开报表（详见附表重庆市开州区金峰镇</w:t>
      </w:r>
      <w:r>
        <w:rPr>
          <w:rFonts w:hint="eastAsia" w:ascii="Times New Roman" w:hAnsi="Times New Roman" w:eastAsia="方正仿宋_GBK" w:cs="Times New Roman"/>
          <w:sz w:val="32"/>
          <w:szCs w:val="32"/>
          <w:highlight w:val="none"/>
          <w:lang w:eastAsia="zh-CN"/>
        </w:rPr>
        <w:t>村镇建设</w:t>
      </w:r>
      <w:r>
        <w:rPr>
          <w:rFonts w:hint="default" w:ascii="Times New Roman" w:hAnsi="Times New Roman" w:eastAsia="方正仿宋_GBK" w:cs="Times New Roman"/>
          <w:sz w:val="32"/>
          <w:szCs w:val="32"/>
          <w:highlight w:val="none"/>
        </w:rPr>
        <w:t>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李洁</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rPr>
        <w:t>52175258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rPr>
        <w:t>重庆市开州区金峰镇</w:t>
      </w:r>
      <w:r>
        <w:rPr>
          <w:rFonts w:hint="eastAsia" w:ascii="Times New Roman" w:hAnsi="Times New Roman" w:eastAsia="方正仿宋_GBK" w:cs="Times New Roman"/>
          <w:sz w:val="32"/>
          <w:highlight w:val="none"/>
          <w:lang w:eastAsia="zh-CN"/>
        </w:rPr>
        <w:t>村镇建设</w:t>
      </w:r>
      <w:r>
        <w:rPr>
          <w:rFonts w:hint="default" w:ascii="Times New Roman" w:hAnsi="Times New Roman" w:eastAsia="方正仿宋_GBK" w:cs="Times New Roman"/>
          <w:sz w:val="32"/>
          <w:highlight w:val="none"/>
        </w:rPr>
        <w:t>服务中心</w:t>
      </w:r>
      <w:r>
        <w:rPr>
          <w:rFonts w:hint="eastAsia" w:ascii="Times New Roman" w:hAnsi="Times New Roman" w:eastAsia="方正仿宋_GBK" w:cs="Times New Roman"/>
          <w:sz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r>
        <w:rPr>
          <w:rFonts w:hint="default" w:ascii="Times New Roman" w:hAnsi="Times New Roman" w:eastAsia="方正仿宋_GBK" w:cs="Times New Roman"/>
          <w:sz w:val="32"/>
        </w:rPr>
        <w:t>日</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5"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ind w:firstLine="280" w:firstLineChars="1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方正仿宋_GBK"/>
          <w:sz w:val="28"/>
          <w:szCs w:val="28"/>
          <w:highlight w:val="none"/>
          <w:lang w:val="en-US" w:eastAsia="zh-CN"/>
        </w:rPr>
        <w:t>重庆市开州区金峰镇</w:t>
      </w:r>
      <w:r>
        <w:rPr>
          <w:rFonts w:hint="eastAsia" w:ascii="方正仿宋_GBK" w:hAnsi="方正仿宋_GBK" w:eastAsia="方正仿宋_GBK" w:cs="方正仿宋_GBK"/>
          <w:sz w:val="28"/>
          <w:szCs w:val="28"/>
          <w:highlight w:val="none"/>
          <w:lang w:val="en-US" w:eastAsia="zh-CN"/>
        </w:rPr>
        <w:t>基层治理综合指挥室</w:t>
      </w:r>
      <w:r>
        <w:rPr>
          <w:rFonts w:hint="eastAsia" w:ascii="Times New Roman" w:hAnsi="Times New Roman" w:eastAsia="方正仿宋_GBK" w:cs="方正仿宋_GBK"/>
          <w:sz w:val="28"/>
          <w:szCs w:val="28"/>
          <w:highlight w:val="none"/>
          <w:lang w:val="en-US" w:eastAsia="zh-CN"/>
        </w:rPr>
        <w:t xml:space="preserve">    202</w:t>
      </w:r>
      <w:r>
        <w:rPr>
          <w:rFonts w:hint="eastAsia" w:ascii="Times New Roman" w:hAnsi="Times New Roman" w:cs="方正仿宋_GBK"/>
          <w:sz w:val="28"/>
          <w:szCs w:val="28"/>
          <w:highlight w:val="none"/>
          <w:lang w:val="en-US" w:eastAsia="zh-CN"/>
        </w:rPr>
        <w:t>6</w:t>
      </w:r>
      <w:r>
        <w:rPr>
          <w:rFonts w:hint="eastAsia" w:ascii="Times New Roman" w:hAnsi="Times New Roman" w:eastAsia="方正仿宋_GBK" w:cs="方正仿宋_GBK"/>
          <w:sz w:val="28"/>
          <w:szCs w:val="28"/>
          <w:highlight w:val="none"/>
          <w:lang w:val="en-US" w:eastAsia="zh-CN"/>
        </w:rPr>
        <w:t>年3月</w:t>
      </w:r>
      <w:r>
        <w:rPr>
          <w:rFonts w:hint="eastAsia" w:ascii="Times New Roman" w:hAnsi="Times New Roman" w:cs="方正仿宋_GBK"/>
          <w:sz w:val="28"/>
          <w:szCs w:val="28"/>
          <w:highlight w:val="none"/>
          <w:lang w:val="en-US" w:eastAsia="zh-CN"/>
        </w:rPr>
        <w:t>12</w:t>
      </w:r>
      <w:r>
        <w:rPr>
          <w:rFonts w:hint="eastAsia" w:ascii="Times New Roman" w:hAnsi="Times New Roman" w:eastAsia="方正仿宋_GBK" w:cs="方正仿宋_GBK"/>
          <w:sz w:val="28"/>
          <w:szCs w:val="28"/>
          <w:highlight w:val="none"/>
          <w:lang w:val="en-US" w:eastAsia="zh-CN"/>
        </w:rPr>
        <w:t>日印发</w:t>
      </w:r>
    </w:p>
    <w:sectPr>
      <w:pgSz w:w="11906" w:h="16838"/>
      <w:pgMar w:top="2098" w:right="1531" w:bottom="1984" w:left="1531" w:header="851" w:footer="147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8" w:rightChars="61"/>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26"/>
      </w:tabs>
      <w:wordWrap w:val="0"/>
      <w:ind w:left="279" w:leftChars="133" w:right="5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6EF3697"/>
    <w:rsid w:val="074778FA"/>
    <w:rsid w:val="07AF403B"/>
    <w:rsid w:val="09683A69"/>
    <w:rsid w:val="0F6D43F6"/>
    <w:rsid w:val="0FC104CA"/>
    <w:rsid w:val="14D02450"/>
    <w:rsid w:val="18215731"/>
    <w:rsid w:val="18470C73"/>
    <w:rsid w:val="196E63A5"/>
    <w:rsid w:val="1D815193"/>
    <w:rsid w:val="1F9F7947"/>
    <w:rsid w:val="1FDF559D"/>
    <w:rsid w:val="20BB050A"/>
    <w:rsid w:val="213351E0"/>
    <w:rsid w:val="2165030C"/>
    <w:rsid w:val="25A96130"/>
    <w:rsid w:val="279D7857"/>
    <w:rsid w:val="27A80CAA"/>
    <w:rsid w:val="2E156CED"/>
    <w:rsid w:val="2EFF324B"/>
    <w:rsid w:val="2FA986A4"/>
    <w:rsid w:val="34244574"/>
    <w:rsid w:val="34986903"/>
    <w:rsid w:val="382F6B8A"/>
    <w:rsid w:val="3AF86959"/>
    <w:rsid w:val="3BA72B16"/>
    <w:rsid w:val="3DB64D8C"/>
    <w:rsid w:val="3EEA231B"/>
    <w:rsid w:val="40E304B3"/>
    <w:rsid w:val="43F9087A"/>
    <w:rsid w:val="44095B3F"/>
    <w:rsid w:val="4D51623B"/>
    <w:rsid w:val="538926B6"/>
    <w:rsid w:val="605862E9"/>
    <w:rsid w:val="61704203"/>
    <w:rsid w:val="61D47D25"/>
    <w:rsid w:val="63D20F4B"/>
    <w:rsid w:val="64711499"/>
    <w:rsid w:val="65AC124F"/>
    <w:rsid w:val="670C1AB4"/>
    <w:rsid w:val="67BF2512"/>
    <w:rsid w:val="6A461D9D"/>
    <w:rsid w:val="6E752B8D"/>
    <w:rsid w:val="6FF70EEE"/>
    <w:rsid w:val="737D64E9"/>
    <w:rsid w:val="74C94B5B"/>
    <w:rsid w:val="7A280C99"/>
    <w:rsid w:val="7BDFC20C"/>
    <w:rsid w:val="7D9FE5FC"/>
    <w:rsid w:val="7F2B119F"/>
    <w:rsid w:val="7FDF7D5D"/>
    <w:rsid w:val="7FFF87B8"/>
    <w:rsid w:val="BFFD070F"/>
    <w:rsid w:val="BFFFF404"/>
    <w:rsid w:val="C3C2636B"/>
    <w:rsid w:val="C67BDFFE"/>
    <w:rsid w:val="D3739E20"/>
    <w:rsid w:val="EDFA4F20"/>
    <w:rsid w:val="EF7DA69E"/>
    <w:rsid w:val="FAAF5353"/>
    <w:rsid w:val="FBBF4C8C"/>
    <w:rsid w:val="FDEF5240"/>
    <w:rsid w:val="FEFCB479"/>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1910</Words>
  <Characters>2073</Characters>
  <Lines>0</Lines>
  <Paragraphs>0</Paragraphs>
  <TotalTime>1</TotalTime>
  <ScaleCrop>false</ScaleCrop>
  <LinksUpToDate>false</LinksUpToDate>
  <CharactersWithSpaces>2101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2026-01-09T22:35:00Z</dcterms:created>
  <dc:creator>lenovo</dc:creator>
  <cp:lastModifiedBy>冉浩田</cp:lastModifiedBy>
  <cp:lastPrinted>2026-01-30T23:59:00Z</cp:lastPrinted>
  <dcterms:modified xsi:type="dcterms:W3CDTF">2026-03-12T07:34:56Z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44EBD8EDD8640457B1DF7969AD70809F_43</vt:lpwstr>
  </property>
  <property fmtid="{D5CDD505-2E9C-101B-9397-08002B2CF9AE}" pid="4" name="KSOTemplateDocerSaveRecord">
    <vt:lpwstr>eyJoZGlkIjoiMjYwNzg4OTFkMThhZWQ5ZWU5NzA0ZTRkNGVhOTJiYzYiLCJ1c2VySWQiOiIyNDM2MDc1MDEifQ==</vt:lpwstr>
  </property>
</Properties>
</file>